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13" w:lineRule="exact"/>
        <w:rPr>
          <w:color w:val="auto"/>
          <w:sz w:val="24"/>
          <w:szCs w:val="24"/>
          <w:shd w:val="clear" w:color="auto" w:fill="auto"/>
        </w:rPr>
      </w:pPr>
      <w:bookmarkStart w:id="0" w:name="page1"/>
      <w:bookmarkEnd w:id="0"/>
    </w:p>
    <w:p>
      <w:pPr>
        <w:keepNext w:val="0"/>
        <w:keepLines w:val="0"/>
        <w:pageBreakBefore w:val="0"/>
        <w:widowControl/>
        <w:kinsoku/>
        <w:wordWrap/>
        <w:overflowPunct/>
        <w:topLinePunct w:val="0"/>
        <w:autoSpaceDE/>
        <w:autoSpaceDN/>
        <w:bidi w:val="0"/>
        <w:adjustRightInd/>
        <w:snapToGrid/>
        <w:spacing w:line="600" w:lineRule="auto"/>
        <w:jc w:val="center"/>
        <w:textAlignment w:val="auto"/>
        <w:outlineLvl w:val="9"/>
        <w:rPr>
          <w:b/>
          <w:spacing w:val="20"/>
          <w:sz w:val="32"/>
        </w:rPr>
      </w:pPr>
      <w:r>
        <w:rPr>
          <w:rFonts w:hint="eastAsia" w:eastAsia="黑体"/>
          <w:b/>
          <w:color w:val="FF0000"/>
          <w:spacing w:val="-80"/>
          <w:w w:val="145"/>
          <w:kern w:val="84"/>
          <w:sz w:val="84"/>
          <w:szCs w:val="84"/>
        </w:rPr>
        <w:t>高 教 研 究 信 息</w:t>
      </w:r>
    </w:p>
    <w:p>
      <w:pPr>
        <w:spacing w:line="360" w:lineRule="auto"/>
        <w:jc w:val="center"/>
        <w:rPr>
          <w:rFonts w:hint="eastAsia"/>
          <w:b/>
          <w:spacing w:val="20"/>
          <w:sz w:val="32"/>
        </w:rPr>
      </w:pPr>
      <w:r>
        <w:rPr>
          <w:rFonts w:hint="eastAsia"/>
          <w:b/>
          <w:spacing w:val="20"/>
          <w:sz w:val="32"/>
        </w:rPr>
        <w:t>第 4</w:t>
      </w:r>
      <w:r>
        <w:rPr>
          <w:b/>
          <w:spacing w:val="20"/>
          <w:sz w:val="32"/>
        </w:rPr>
        <w:t xml:space="preserve"> </w:t>
      </w:r>
      <w:r>
        <w:rPr>
          <w:rFonts w:hint="eastAsia"/>
          <w:b/>
          <w:spacing w:val="20"/>
          <w:sz w:val="32"/>
        </w:rPr>
        <w:t>期</w:t>
      </w:r>
    </w:p>
    <w:p>
      <w:pPr>
        <w:spacing w:line="720" w:lineRule="auto"/>
        <w:jc w:val="center"/>
        <w:rPr>
          <w:rFonts w:hint="eastAsia" w:eastAsia="黑体"/>
          <w:b/>
          <w:color w:val="FF0000"/>
          <w:spacing w:val="-80"/>
          <w:w w:val="145"/>
          <w:kern w:val="84"/>
          <w:sz w:val="84"/>
          <w:szCs w:val="84"/>
        </w:rPr>
      </w:pPr>
      <w:r>
        <w:rPr>
          <w:rFonts w:hint="eastAsia" w:eastAsia="仿宋_GB2312"/>
          <w:spacing w:val="20"/>
          <w:sz w:val="30"/>
        </w:rPr>
        <w:t>（总第</w:t>
      </w:r>
      <w:r>
        <w:rPr>
          <w:rFonts w:hint="eastAsia" w:eastAsia="仿宋_GB2312"/>
          <w:spacing w:val="20"/>
          <w:sz w:val="30"/>
          <w:lang w:val="en-US" w:eastAsia="zh-CN"/>
        </w:rPr>
        <w:t>26</w:t>
      </w:r>
      <w:bookmarkStart w:id="56" w:name="_GoBack"/>
      <w:bookmarkEnd w:id="56"/>
      <w:r>
        <w:rPr>
          <w:rFonts w:hint="eastAsia" w:eastAsia="仿宋_GB2312"/>
          <w:spacing w:val="20"/>
          <w:sz w:val="30"/>
        </w:rPr>
        <w:t>期）</w:t>
      </w:r>
    </w:p>
    <w:p>
      <w:pPr>
        <w:spacing w:line="360" w:lineRule="auto"/>
        <w:jc w:val="center"/>
        <w:rPr>
          <w:b/>
          <w:spacing w:val="20"/>
          <w:sz w:val="32"/>
        </w:rPr>
      </w:pPr>
    </w:p>
    <w:p>
      <w:pPr>
        <w:spacing w:line="360" w:lineRule="auto"/>
        <w:jc w:val="distribute"/>
        <w:outlineLvl w:val="0"/>
        <w:rPr>
          <w:rFonts w:hint="eastAsia" w:eastAsia="仿宋_GB2312"/>
          <w:bCs/>
          <w:sz w:val="32"/>
          <w:szCs w:val="32"/>
        </w:rPr>
      </w:pPr>
      <w:bookmarkStart w:id="1" w:name="_Toc227746370"/>
      <w:r>
        <w:rPr>
          <w:rFonts w:hint="eastAsia" w:eastAsia="仿宋_GB2312"/>
          <w:bCs/>
          <w:sz w:val="32"/>
          <w:szCs w:val="32"/>
        </w:rPr>
        <w:t>防灾科技学院高教研究所主办</w:t>
      </w:r>
      <w:r>
        <w:rPr>
          <w:rFonts w:hint="eastAsia" w:eastAsia="仿宋_GB2312"/>
          <w:bCs/>
          <w:sz w:val="32"/>
          <w:szCs w:val="32"/>
        </w:rPr>
        <w:tab/>
      </w:r>
      <w:r>
        <w:rPr>
          <w:rFonts w:hint="eastAsia" w:eastAsia="仿宋_GB2312"/>
          <w:bCs/>
          <w:sz w:val="32"/>
          <w:szCs w:val="32"/>
          <w:lang w:val="en-US" w:eastAsia="zh-CN"/>
        </w:rPr>
        <w:t xml:space="preserve">                        </w:t>
      </w:r>
      <w:r>
        <w:rPr>
          <w:rFonts w:eastAsia="楷体_GB2312"/>
          <w:spacing w:val="20"/>
          <w:sz w:val="32"/>
        </w:rPr>
        <w:t>20</w:t>
      </w:r>
      <w:r>
        <w:rPr>
          <w:rFonts w:hint="eastAsia" w:eastAsia="楷体_GB2312"/>
          <w:spacing w:val="20"/>
          <w:sz w:val="32"/>
        </w:rPr>
        <w:t>1</w:t>
      </w:r>
      <w:r>
        <w:rPr>
          <w:rFonts w:hint="eastAsia" w:eastAsia="楷体_GB2312"/>
          <w:spacing w:val="20"/>
          <w:sz w:val="32"/>
          <w:lang w:val="en-US" w:eastAsia="zh-CN"/>
        </w:rPr>
        <w:t>6</w:t>
      </w:r>
      <w:r>
        <w:rPr>
          <w:rFonts w:hint="eastAsia" w:eastAsia="楷体_GB2312"/>
          <w:spacing w:val="20"/>
          <w:sz w:val="32"/>
        </w:rPr>
        <w:t>年11月31日</w:t>
      </w:r>
      <w:bookmarkEnd w:id="1"/>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943600" cy="0"/>
                <wp:effectExtent l="0" t="19050" r="0" b="19050"/>
                <wp:wrapNone/>
                <wp:docPr id="14" name="直接连接符 14"/>
                <wp:cNvGraphicFramePr/>
                <a:graphic xmlns:a="http://schemas.openxmlformats.org/drawingml/2006/main">
                  <a:graphicData uri="http://schemas.microsoft.com/office/word/2010/wordprocessingShape">
                    <wps:wsp>
                      <wps:cNvSpPr/>
                      <wps:spPr>
                        <a:xfrm flipV="1">
                          <a:off x="0" y="0"/>
                          <a:ext cx="5943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68pt;z-index:251659264;mso-width-relative:page;mso-height-relative:page;" filled="f" stroked="t" coordsize="21600,21600" o:gfxdata="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LvHSfUAAAABgEA&#10;AA8AAAAAAAAAAQAgAAAAIgAAAGRycy9kb3ducmV2LnhtbFBLAQIUABQAAAAIAIdO4kDCotX65QEA&#10;AKMDAAAOAAAAAAAAAAEAIAAAACMBAABkcnMvZTJvRG9jLnhtbFBLBQYAAAAABgAGAFkBAAB6BQAA&#10;AAA=&#10;">
                <v:fill on="f" focussize="0,0"/>
                <v:stroke weight="3pt" color="#FF0000" joinstyle="round"/>
                <v:imagedata o:title=""/>
                <o:lock v:ext="edit" aspectratio="f"/>
              </v:line>
            </w:pict>
          </mc:Fallback>
        </mc:AlternateContent>
      </w:r>
    </w:p>
    <w:p>
      <w:pPr>
        <w:rPr>
          <w:rFonts w:hint="eastAsia"/>
        </w:rPr>
      </w:pPr>
    </w:p>
    <w:p>
      <w:pPr>
        <w:spacing w:after="0" w:line="320" w:lineRule="exact"/>
        <w:rPr>
          <w:rFonts w:ascii="黑体" w:hAnsi="黑体" w:eastAsia="黑体" w:cs="黑体"/>
          <w:b/>
          <w:bCs/>
          <w:color w:val="auto"/>
          <w:sz w:val="28"/>
          <w:szCs w:val="28"/>
          <w:shd w:val="clear" w:color="auto" w:fill="auto"/>
        </w:rPr>
      </w:pPr>
    </w:p>
    <w:p>
      <w:pPr>
        <w:spacing w:after="0" w:line="320" w:lineRule="exact"/>
        <w:rPr>
          <w:color w:val="auto"/>
          <w:sz w:val="20"/>
          <w:szCs w:val="20"/>
          <w:shd w:val="clear" w:color="auto" w:fill="auto"/>
        </w:rPr>
      </w:pPr>
      <w:r>
        <w:rPr>
          <w:rFonts w:ascii="黑体" w:hAnsi="黑体" w:eastAsia="黑体" w:cs="黑体"/>
          <w:b/>
          <w:bCs/>
          <w:color w:val="auto"/>
          <w:sz w:val="28"/>
          <w:szCs w:val="28"/>
          <w:shd w:val="clear" w:color="auto" w:fill="auto"/>
        </w:rPr>
        <w:t>【编者按】</w:t>
      </w:r>
    </w:p>
    <w:p>
      <w:pPr>
        <w:spacing w:after="0" w:line="20" w:lineRule="exact"/>
        <w:rPr>
          <w:color w:val="auto"/>
          <w:sz w:val="24"/>
          <w:szCs w:val="24"/>
          <w:shd w:val="clear" w:color="auto" w:fill="auto"/>
        </w:rPr>
      </w:pPr>
      <w:r>
        <w:rPr>
          <w:color w:val="auto"/>
          <w:sz w:val="24"/>
          <w:szCs w:val="24"/>
          <w:shd w:val="clear" w:color="auto" w:fill="auto"/>
        </w:rPr>
        <mc:AlternateContent>
          <mc:Choice Requires="wps">
            <w:drawing>
              <wp:anchor distT="0" distB="0" distL="114300" distR="114300" simplePos="0" relativeHeight="251658240" behindDoc="1" locked="0" layoutInCell="0" allowOverlap="1">
                <wp:simplePos x="0" y="0"/>
                <wp:positionH relativeFrom="column">
                  <wp:posOffset>-19685</wp:posOffset>
                </wp:positionH>
                <wp:positionV relativeFrom="paragraph">
                  <wp:posOffset>285750</wp:posOffset>
                </wp:positionV>
                <wp:extent cx="5796915" cy="5365750"/>
                <wp:effectExtent l="0" t="0" r="13335" b="6350"/>
                <wp:wrapNone/>
                <wp:docPr id="1" name="Shape 1"/>
                <wp:cNvGraphicFramePr/>
                <a:graphic xmlns:a="http://schemas.openxmlformats.org/drawingml/2006/main">
                  <a:graphicData uri="http://schemas.microsoft.com/office/word/2010/wordprocessingShape">
                    <wps:wsp>
                      <wps:cNvSpPr/>
                      <wps:spPr>
                        <a:xfrm>
                          <a:off x="0" y="0"/>
                          <a:ext cx="5796915" cy="5365750"/>
                        </a:xfrm>
                        <a:prstGeom prst="rect">
                          <a:avLst/>
                        </a:prstGeom>
                        <a:solidFill>
                          <a:srgbClr val="FCFCFC"/>
                        </a:solidFill>
                      </wps:spPr>
                      <wps:bodyPr/>
                    </wps:wsp>
                  </a:graphicData>
                </a:graphic>
              </wp:anchor>
            </w:drawing>
          </mc:Choice>
          <mc:Fallback>
            <w:pict>
              <v:rect id="Shape 1" o:spid="_x0000_s1026" o:spt="1" style="position:absolute;left:0pt;margin-left:-1.55pt;margin-top:22.5pt;height:422.5pt;width:456.45pt;z-index:-251658240;mso-width-relative:page;mso-height-relative:page;" fillcolor="#FCFCFC" filled="t" stroked="f" coordsize="21600,21600" o:allowincell="f" o:gfxdata="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B6&#10;3kb82AAAAAkBAAAPAAAAAAAAAAEAIAAAACIAAABkcnMvZG93bnJldi54bWxQSwECFAAUAAAACACH&#10;TuJA7tZUPnkBAADtAgAADgAAAAAAAAABACAAAAAnAQAAZHJzL2Uyb0RvYy54bWxQSwUGAAAAAAYA&#10;BgBZAQAAEgUAAAAA&#10;">
                <v:fill on="t" focussize="0,0"/>
                <v:stroke on="f"/>
                <v:imagedata o:title=""/>
                <o:lock v:ext="edit" aspectratio="f"/>
              </v:rect>
            </w:pict>
          </mc:Fallback>
        </mc:AlternateContent>
      </w:r>
    </w:p>
    <w:p>
      <w:pPr>
        <w:spacing w:after="0" w:line="200" w:lineRule="exact"/>
        <w:rPr>
          <w:color w:val="auto"/>
          <w:sz w:val="24"/>
          <w:szCs w:val="24"/>
          <w:shd w:val="clear" w:color="auto" w:fill="auto"/>
        </w:rPr>
      </w:pPr>
    </w:p>
    <w:p>
      <w:pPr>
        <w:spacing w:after="0" w:line="272" w:lineRule="exact"/>
        <w:rPr>
          <w:color w:val="auto"/>
          <w:sz w:val="24"/>
          <w:szCs w:val="24"/>
          <w:shd w:val="clear" w:color="auto" w:fill="auto"/>
        </w:rPr>
      </w:pPr>
    </w:p>
    <w:p>
      <w:pPr>
        <w:spacing w:after="0" w:line="507" w:lineRule="exact"/>
        <w:ind w:right="140" w:firstLine="560"/>
        <w:jc w:val="both"/>
        <w:rPr>
          <w:color w:val="auto"/>
          <w:sz w:val="20"/>
          <w:szCs w:val="20"/>
          <w:shd w:val="clear" w:color="auto" w:fill="auto"/>
        </w:rPr>
      </w:pPr>
      <w:r>
        <w:rPr>
          <w:rFonts w:ascii="新宋体" w:hAnsi="新宋体" w:eastAsia="新宋体" w:cs="新宋体"/>
          <w:color w:val="auto"/>
          <w:sz w:val="28"/>
          <w:szCs w:val="28"/>
          <w:shd w:val="clear" w:color="auto" w:fill="auto"/>
        </w:rPr>
        <w:t>党的十八届三中、四中全会提出了全面贯彻依法治国精神，教育部《全面推进依法治校实施纲要》和《中长期教育改革和发展规划纲要》也提出了</w:t>
      </w:r>
      <w:r>
        <w:rPr>
          <w:rFonts w:ascii="Courier New" w:hAnsi="Courier New" w:eastAsia="Courier New" w:cs="Courier New"/>
          <w:color w:val="auto"/>
          <w:sz w:val="28"/>
          <w:szCs w:val="28"/>
          <w:shd w:val="clear" w:color="auto" w:fill="auto"/>
        </w:rPr>
        <w:t>“</w:t>
      </w:r>
      <w:r>
        <w:rPr>
          <w:rFonts w:ascii="新宋体" w:hAnsi="新宋体" w:eastAsia="新宋体" w:cs="新宋体"/>
          <w:color w:val="auto"/>
          <w:sz w:val="28"/>
          <w:szCs w:val="28"/>
          <w:shd w:val="clear" w:color="auto" w:fill="auto"/>
        </w:rPr>
        <w:t>建设依法办学、自主管理、民主监督、社会参与的现代学校制度</w:t>
      </w:r>
      <w:r>
        <w:rPr>
          <w:rFonts w:ascii="Courier New" w:hAnsi="Courier New" w:eastAsia="Courier New" w:cs="Courier New"/>
          <w:color w:val="auto"/>
          <w:sz w:val="28"/>
          <w:szCs w:val="28"/>
          <w:shd w:val="clear" w:color="auto" w:fill="auto"/>
        </w:rPr>
        <w:t>”</w:t>
      </w:r>
      <w:r>
        <w:rPr>
          <w:rFonts w:ascii="新宋体" w:hAnsi="新宋体" w:eastAsia="新宋体" w:cs="新宋体"/>
          <w:color w:val="auto"/>
          <w:sz w:val="28"/>
          <w:szCs w:val="28"/>
          <w:shd w:val="clear" w:color="auto" w:fill="auto"/>
        </w:rPr>
        <w:t>。</w:t>
      </w:r>
      <w:r>
        <w:rPr>
          <w:rFonts w:ascii="Courier New" w:hAnsi="Courier New" w:eastAsia="Courier New" w:cs="Courier New"/>
          <w:color w:val="auto"/>
          <w:sz w:val="28"/>
          <w:szCs w:val="28"/>
          <w:shd w:val="clear" w:color="auto" w:fill="auto"/>
        </w:rPr>
        <w:t xml:space="preserve"> </w:t>
      </w:r>
      <w:r>
        <w:rPr>
          <w:rFonts w:ascii="新宋体" w:hAnsi="新宋体" w:eastAsia="新宋体" w:cs="新宋体"/>
          <w:color w:val="auto"/>
          <w:sz w:val="28"/>
          <w:szCs w:val="28"/>
          <w:shd w:val="clear" w:color="auto" w:fill="auto"/>
        </w:rPr>
        <w:t>当下启动大学章程的制定和实施加强学校章程建设，既是国家的统一意志，是国家教育法律法规的明确要求，同时也是大学促进规范管理、深化教学改革的需要。因此，大学章程建设是时代使然，更是中国现代大学走向成熟的标志和必然选择。</w:t>
      </w:r>
    </w:p>
    <w:p>
      <w:pPr>
        <w:spacing w:after="0" w:line="200" w:lineRule="exact"/>
        <w:rPr>
          <w:color w:val="auto"/>
          <w:sz w:val="24"/>
          <w:szCs w:val="24"/>
          <w:shd w:val="clear" w:color="auto" w:fill="auto"/>
        </w:rPr>
      </w:pPr>
    </w:p>
    <w:p>
      <w:pPr>
        <w:spacing w:after="0" w:line="346" w:lineRule="exact"/>
        <w:rPr>
          <w:color w:val="auto"/>
          <w:sz w:val="24"/>
          <w:szCs w:val="24"/>
          <w:shd w:val="clear" w:color="auto" w:fill="auto"/>
        </w:rPr>
      </w:pPr>
    </w:p>
    <w:p>
      <w:pPr>
        <w:spacing w:after="0" w:line="512" w:lineRule="exact"/>
        <w:ind w:firstLine="560"/>
        <w:rPr>
          <w:color w:val="auto"/>
          <w:sz w:val="20"/>
          <w:szCs w:val="20"/>
          <w:shd w:val="clear" w:color="auto" w:fill="auto"/>
        </w:rPr>
      </w:pPr>
      <w:r>
        <w:rPr>
          <w:rFonts w:ascii="新宋体" w:hAnsi="新宋体" w:eastAsia="新宋体" w:cs="新宋体"/>
          <w:color w:val="auto"/>
          <w:sz w:val="28"/>
          <w:szCs w:val="28"/>
          <w:shd w:val="clear" w:color="auto" w:fill="auto"/>
        </w:rPr>
        <w:t>我院自</w:t>
      </w:r>
      <w:r>
        <w:rPr>
          <w:rFonts w:ascii="Courier New" w:hAnsi="Courier New" w:eastAsia="Courier New" w:cs="Courier New"/>
          <w:color w:val="auto"/>
          <w:sz w:val="28"/>
          <w:szCs w:val="28"/>
          <w:shd w:val="clear" w:color="auto" w:fill="auto"/>
        </w:rPr>
        <w:t xml:space="preserve"> 2013 </w:t>
      </w:r>
      <w:r>
        <w:rPr>
          <w:rFonts w:ascii="新宋体" w:hAnsi="新宋体" w:eastAsia="新宋体" w:cs="新宋体"/>
          <w:color w:val="auto"/>
          <w:sz w:val="28"/>
          <w:szCs w:val="28"/>
          <w:shd w:val="clear" w:color="auto" w:fill="auto"/>
        </w:rPr>
        <w:t>年以来就开展了学院章程编制的准备工作，章程编制过程中，广泛征求了行业专家、教育专家、教师代表、学生代表、校友代表以及社会各界的意见和建议，并于今年</w:t>
      </w:r>
      <w:r>
        <w:rPr>
          <w:rFonts w:ascii="Courier New" w:hAnsi="Courier New" w:eastAsia="Courier New" w:cs="Courier New"/>
          <w:color w:val="auto"/>
          <w:sz w:val="28"/>
          <w:szCs w:val="28"/>
          <w:shd w:val="clear" w:color="auto" w:fill="auto"/>
        </w:rPr>
        <w:t xml:space="preserve"> 10 </w:t>
      </w:r>
      <w:r>
        <w:rPr>
          <w:rFonts w:ascii="新宋体" w:hAnsi="新宋体" w:eastAsia="新宋体" w:cs="新宋体"/>
          <w:color w:val="auto"/>
          <w:sz w:val="28"/>
          <w:szCs w:val="28"/>
          <w:shd w:val="clear" w:color="auto" w:fill="auto"/>
        </w:rPr>
        <w:t>月正式公布《防灾科技学院章程（草案）》。目前，《章程》已通过主管部门审核，教育部正在核准中。《章程》对学院定位、办学指导思想、学院与主管部门的权责关系、内部治理结构、管理体制与运行机制、师生权利与义务、学院与社会的关系等核心内容进行了清晰表述和界定。本期《高教研究信息》以高校章程建设为主题，选取相关文章，相关内容请查阅！</w:t>
      </w:r>
    </w:p>
    <w:p>
      <w:pPr>
        <w:rPr>
          <w:shd w:val="clear" w:color="auto" w:fill="auto"/>
        </w:rPr>
        <w:sectPr>
          <w:pgSz w:w="11900" w:h="16840"/>
          <w:pgMar w:top="1440" w:right="1284" w:bottom="1440" w:left="1420" w:header="0" w:footer="0" w:gutter="0"/>
          <w:cols w:equalWidth="0" w:num="1">
            <w:col w:w="9200"/>
          </w:cols>
        </w:sectPr>
      </w:pPr>
    </w:p>
    <w:p>
      <w:pPr>
        <w:spacing w:after="0" w:line="200" w:lineRule="exact"/>
        <w:rPr>
          <w:color w:val="auto"/>
          <w:sz w:val="20"/>
          <w:szCs w:val="20"/>
          <w:shd w:val="clear" w:color="auto" w:fill="auto"/>
        </w:rPr>
      </w:pPr>
      <w:bookmarkStart w:id="2" w:name="page2"/>
      <w:bookmarkEnd w:id="2"/>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38" w:lineRule="exact"/>
        <w:rPr>
          <w:color w:val="auto"/>
          <w:sz w:val="20"/>
          <w:szCs w:val="20"/>
          <w:shd w:val="clear" w:color="auto" w:fill="auto"/>
        </w:rPr>
      </w:pPr>
    </w:p>
    <w:p>
      <w:pPr>
        <w:tabs>
          <w:tab w:val="left" w:pos="420"/>
        </w:tabs>
        <w:spacing w:after="0" w:line="502" w:lineRule="exact"/>
        <w:jc w:val="center"/>
        <w:rPr>
          <w:color w:val="auto"/>
          <w:sz w:val="20"/>
          <w:szCs w:val="20"/>
          <w:shd w:val="clear" w:color="auto" w:fill="auto"/>
        </w:rPr>
      </w:pPr>
      <w:r>
        <w:rPr>
          <w:rFonts w:ascii="黑体" w:hAnsi="黑体" w:eastAsia="黑体" w:cs="黑体"/>
          <w:b/>
          <w:bCs/>
          <w:color w:val="auto"/>
          <w:sz w:val="44"/>
          <w:szCs w:val="44"/>
          <w:shd w:val="clear" w:color="auto" w:fill="auto"/>
        </w:rPr>
        <w:t>本</w:t>
      </w:r>
      <w:r>
        <w:rPr>
          <w:rFonts w:ascii="黑体" w:hAnsi="黑体" w:eastAsia="黑体" w:cs="黑体"/>
          <w:b/>
          <w:bCs/>
          <w:color w:val="auto"/>
          <w:sz w:val="44"/>
          <w:szCs w:val="44"/>
          <w:shd w:val="clear" w:color="auto" w:fill="auto"/>
        </w:rPr>
        <w:tab/>
      </w:r>
      <w:r>
        <w:rPr>
          <w:rFonts w:ascii="黑体" w:hAnsi="黑体" w:eastAsia="黑体" w:cs="黑体"/>
          <w:b/>
          <w:bCs/>
          <w:color w:val="auto"/>
          <w:sz w:val="44"/>
          <w:szCs w:val="44"/>
          <w:shd w:val="clear" w:color="auto" w:fill="auto"/>
        </w:rPr>
        <w:t>期</w:t>
      </w:r>
      <w:r>
        <w:rPr>
          <w:rFonts w:ascii="黑体" w:hAnsi="黑体" w:eastAsia="黑体" w:cs="黑体"/>
          <w:b/>
          <w:bCs/>
          <w:color w:val="auto"/>
          <w:sz w:val="44"/>
          <w:szCs w:val="44"/>
          <w:shd w:val="clear" w:color="auto" w:fill="auto"/>
        </w:rPr>
        <w:tab/>
      </w:r>
      <w:r>
        <w:rPr>
          <w:rFonts w:ascii="黑体" w:hAnsi="黑体" w:eastAsia="黑体" w:cs="黑体"/>
          <w:b/>
          <w:bCs/>
          <w:color w:val="auto"/>
          <w:sz w:val="44"/>
          <w:szCs w:val="44"/>
          <w:shd w:val="clear" w:color="auto" w:fill="auto"/>
        </w:rPr>
        <w:t>目</w:t>
      </w:r>
      <w:r>
        <w:rPr>
          <w:color w:val="auto"/>
          <w:sz w:val="20"/>
          <w:szCs w:val="20"/>
          <w:shd w:val="clear" w:color="auto" w:fill="auto"/>
        </w:rPr>
        <w:tab/>
      </w:r>
      <w:r>
        <w:rPr>
          <w:rFonts w:ascii="黑体" w:hAnsi="黑体" w:eastAsia="黑体" w:cs="黑体"/>
          <w:b/>
          <w:bCs/>
          <w:color w:val="auto"/>
          <w:sz w:val="43"/>
          <w:szCs w:val="43"/>
          <w:shd w:val="clear" w:color="auto" w:fill="auto"/>
        </w:rPr>
        <w:t>录</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76" w:lineRule="exact"/>
        <w:rPr>
          <w:color w:val="auto"/>
          <w:sz w:val="20"/>
          <w:szCs w:val="20"/>
          <w:shd w:val="clear" w:color="auto" w:fill="auto"/>
        </w:rPr>
      </w:pPr>
    </w:p>
    <w:p>
      <w:pPr>
        <w:tabs>
          <w:tab w:val="left" w:pos="2080"/>
          <w:tab w:val="left" w:pos="4180"/>
        </w:tabs>
        <w:spacing w:after="0" w:line="401" w:lineRule="exact"/>
        <w:rPr>
          <w:color w:val="auto"/>
          <w:sz w:val="20"/>
          <w:szCs w:val="20"/>
          <w:shd w:val="clear" w:color="auto" w:fill="auto"/>
        </w:rPr>
      </w:pPr>
      <w:r>
        <w:rPr>
          <w:rFonts w:ascii="宋体" w:hAnsi="宋体" w:eastAsia="宋体" w:cs="宋体"/>
          <w:b/>
          <w:bCs/>
          <w:color w:val="auto"/>
          <w:sz w:val="28"/>
          <w:szCs w:val="28"/>
          <w:shd w:val="clear" w:color="auto" w:fill="auto"/>
        </w:rPr>
        <w:t>规范促进治理</w:t>
      </w:r>
      <w:r>
        <w:rPr>
          <w:color w:val="auto"/>
          <w:sz w:val="20"/>
          <w:szCs w:val="20"/>
          <w:shd w:val="clear" w:color="auto" w:fill="auto"/>
        </w:rPr>
        <w:tab/>
      </w:r>
      <w:r>
        <w:rPr>
          <w:rFonts w:ascii="宋体" w:hAnsi="宋体" w:eastAsia="宋体" w:cs="宋体"/>
          <w:b/>
          <w:bCs/>
          <w:color w:val="auto"/>
          <w:sz w:val="28"/>
          <w:szCs w:val="28"/>
          <w:shd w:val="clear" w:color="auto" w:fill="auto"/>
        </w:rPr>
        <w:t>特色引领发展</w:t>
      </w:r>
      <w:r>
        <w:rPr>
          <w:color w:val="auto"/>
          <w:sz w:val="20"/>
          <w:szCs w:val="20"/>
          <w:shd w:val="clear" w:color="auto" w:fill="auto"/>
        </w:rPr>
        <w:tab/>
      </w:r>
      <w:r>
        <w:rPr>
          <w:rFonts w:ascii="宋体" w:hAnsi="宋体" w:eastAsia="宋体" w:cs="宋体"/>
          <w:b/>
          <w:bCs/>
          <w:color w:val="auto"/>
          <w:sz w:val="28"/>
          <w:szCs w:val="28"/>
          <w:shd w:val="clear" w:color="auto" w:fill="auto"/>
        </w:rPr>
        <w:t>制度驱动改革</w:t>
      </w:r>
      <w:r>
        <w:rPr>
          <w:rFonts w:ascii="宋体" w:hAnsi="宋体" w:eastAsia="宋体" w:cs="宋体"/>
          <w:b/>
          <w:bCs/>
          <w:color w:val="auto"/>
          <w:sz w:val="21"/>
          <w:szCs w:val="21"/>
          <w:shd w:val="clear" w:color="auto" w:fill="auto"/>
        </w:rPr>
        <w:t>…………………………………</w:t>
      </w:r>
      <w:r>
        <w:rPr>
          <w:rFonts w:ascii="Times New Roman" w:hAnsi="Times New Roman" w:eastAsia="Times New Roman" w:cs="Times New Roman"/>
          <w:b/>
          <w:bCs/>
          <w:color w:val="auto"/>
          <w:sz w:val="28"/>
          <w:szCs w:val="28"/>
          <w:shd w:val="clear" w:color="auto" w:fill="auto"/>
        </w:rPr>
        <w:t>1</w:t>
      </w:r>
    </w:p>
    <w:p>
      <w:pPr>
        <w:spacing w:after="0" w:line="283" w:lineRule="exact"/>
        <w:rPr>
          <w:color w:val="auto"/>
          <w:sz w:val="20"/>
          <w:szCs w:val="20"/>
          <w:shd w:val="clear" w:color="auto" w:fill="auto"/>
        </w:rPr>
      </w:pPr>
    </w:p>
    <w:p>
      <w:pPr>
        <w:spacing w:after="0" w:line="341" w:lineRule="exact"/>
        <w:rPr>
          <w:color w:val="auto"/>
          <w:sz w:val="20"/>
          <w:szCs w:val="20"/>
          <w:shd w:val="clear" w:color="auto" w:fill="auto"/>
        </w:rPr>
      </w:pPr>
      <w:r>
        <w:rPr>
          <w:rFonts w:ascii="宋体" w:hAnsi="宋体" w:eastAsia="宋体" w:cs="宋体"/>
          <w:b/>
          <w:bCs/>
          <w:color w:val="auto"/>
          <w:sz w:val="28"/>
          <w:szCs w:val="28"/>
          <w:shd w:val="clear" w:color="auto" w:fill="auto"/>
        </w:rPr>
        <w:t>有关大学章程认识的若干问题</w:t>
      </w:r>
      <w:r>
        <w:rPr>
          <w:rFonts w:ascii="宋体" w:hAnsi="宋体" w:eastAsia="宋体" w:cs="宋体"/>
          <w:b/>
          <w:bCs/>
          <w:color w:val="auto"/>
          <w:sz w:val="28"/>
          <w:szCs w:val="28"/>
          <w:shd w:val="clear" w:color="auto" w:fill="auto"/>
        </w:rPr>
        <w:t>………………………………………………</w:t>
      </w:r>
      <w:r>
        <w:rPr>
          <w:rFonts w:ascii="Times New Roman" w:hAnsi="Times New Roman" w:eastAsia="Times New Roman" w:cs="Times New Roman"/>
          <w:b/>
          <w:bCs/>
          <w:color w:val="auto"/>
          <w:sz w:val="28"/>
          <w:szCs w:val="28"/>
          <w:shd w:val="clear" w:color="auto" w:fill="auto"/>
        </w:rPr>
        <w:t>4</w:t>
      </w:r>
    </w:p>
    <w:p>
      <w:pPr>
        <w:spacing w:after="0" w:line="290" w:lineRule="exact"/>
        <w:rPr>
          <w:color w:val="auto"/>
          <w:sz w:val="20"/>
          <w:szCs w:val="20"/>
          <w:shd w:val="clear" w:color="auto" w:fill="auto"/>
        </w:rPr>
      </w:pPr>
    </w:p>
    <w:p>
      <w:pPr>
        <w:spacing w:after="0" w:line="320" w:lineRule="exact"/>
        <w:rPr>
          <w:color w:val="auto"/>
          <w:sz w:val="20"/>
          <w:szCs w:val="20"/>
          <w:shd w:val="clear" w:color="auto" w:fill="auto"/>
        </w:rPr>
      </w:pPr>
      <w:r>
        <w:rPr>
          <w:rFonts w:ascii="宋体" w:hAnsi="宋体" w:eastAsia="宋体" w:cs="宋体"/>
          <w:b/>
          <w:bCs/>
          <w:color w:val="auto"/>
          <w:sz w:val="28"/>
          <w:szCs w:val="28"/>
          <w:shd w:val="clear" w:color="auto" w:fill="auto"/>
        </w:rPr>
        <w:t>公立高校章程中实施机制的规定问题</w:t>
      </w:r>
    </w:p>
    <w:p>
      <w:pPr>
        <w:spacing w:after="0" w:line="298" w:lineRule="exact"/>
        <w:rPr>
          <w:color w:val="auto"/>
          <w:sz w:val="20"/>
          <w:szCs w:val="20"/>
          <w:shd w:val="clear" w:color="auto" w:fill="auto"/>
        </w:rPr>
      </w:pPr>
    </w:p>
    <w:p>
      <w:pPr>
        <w:spacing w:after="0" w:line="341" w:lineRule="exact"/>
        <w:ind w:left="560"/>
        <w:rPr>
          <w:color w:val="auto"/>
          <w:sz w:val="20"/>
          <w:szCs w:val="20"/>
          <w:shd w:val="clear" w:color="auto" w:fill="auto"/>
        </w:rPr>
      </w:pPr>
      <w:r>
        <w:rPr>
          <w:rFonts w:ascii="宋体" w:hAnsi="宋体" w:eastAsia="宋体" w:cs="宋体"/>
          <w:b/>
          <w:bCs/>
          <w:color w:val="auto"/>
          <w:sz w:val="28"/>
          <w:szCs w:val="28"/>
          <w:shd w:val="clear" w:color="auto" w:fill="auto"/>
        </w:rPr>
        <w:t>——基于</w:t>
      </w:r>
      <w:r>
        <w:rPr>
          <w:rFonts w:ascii="Times New Roman" w:hAnsi="Times New Roman" w:eastAsia="Times New Roman" w:cs="Times New Roman"/>
          <w:b/>
          <w:bCs/>
          <w:color w:val="auto"/>
          <w:sz w:val="28"/>
          <w:szCs w:val="28"/>
          <w:shd w:val="clear" w:color="auto" w:fill="auto"/>
        </w:rPr>
        <w:t xml:space="preserve"> 6 </w:t>
      </w:r>
      <w:r>
        <w:rPr>
          <w:rFonts w:ascii="宋体" w:hAnsi="宋体" w:eastAsia="宋体" w:cs="宋体"/>
          <w:b/>
          <w:bCs/>
          <w:color w:val="auto"/>
          <w:sz w:val="28"/>
          <w:szCs w:val="28"/>
          <w:shd w:val="clear" w:color="auto" w:fill="auto"/>
        </w:rPr>
        <w:t>校章程文本的实证分析</w:t>
      </w:r>
      <w:r>
        <w:rPr>
          <w:rFonts w:ascii="宋体" w:hAnsi="宋体" w:eastAsia="宋体" w:cs="宋体"/>
          <w:b/>
          <w:bCs/>
          <w:color w:val="auto"/>
          <w:sz w:val="28"/>
          <w:szCs w:val="28"/>
          <w:shd w:val="clear" w:color="auto" w:fill="auto"/>
        </w:rPr>
        <w:t>……………………………………</w:t>
      </w:r>
      <w:r>
        <w:rPr>
          <w:rFonts w:ascii="Times New Roman" w:hAnsi="Times New Roman" w:eastAsia="Times New Roman" w:cs="Times New Roman"/>
          <w:b/>
          <w:bCs/>
          <w:color w:val="auto"/>
          <w:sz w:val="28"/>
          <w:szCs w:val="28"/>
          <w:shd w:val="clear" w:color="auto" w:fill="auto"/>
        </w:rPr>
        <w:t>14</w:t>
      </w:r>
    </w:p>
    <w:p>
      <w:pPr>
        <w:spacing w:after="0" w:line="290" w:lineRule="exact"/>
        <w:rPr>
          <w:color w:val="auto"/>
          <w:sz w:val="20"/>
          <w:szCs w:val="20"/>
          <w:shd w:val="clear" w:color="auto" w:fill="auto"/>
        </w:rPr>
      </w:pPr>
    </w:p>
    <w:p>
      <w:pPr>
        <w:spacing w:after="0" w:line="320" w:lineRule="exact"/>
        <w:rPr>
          <w:color w:val="auto"/>
          <w:sz w:val="20"/>
          <w:szCs w:val="20"/>
          <w:shd w:val="clear" w:color="auto" w:fill="auto"/>
        </w:rPr>
      </w:pPr>
      <w:r>
        <w:rPr>
          <w:rFonts w:ascii="宋体" w:hAnsi="宋体" w:eastAsia="宋体" w:cs="宋体"/>
          <w:b/>
          <w:bCs/>
          <w:color w:val="auto"/>
          <w:sz w:val="28"/>
          <w:szCs w:val="28"/>
          <w:shd w:val="clear" w:color="auto" w:fill="auto"/>
        </w:rPr>
        <w:t>大学章程制定中的困惑与突破路径</w:t>
      </w:r>
    </w:p>
    <w:p>
      <w:pPr>
        <w:spacing w:after="0" w:line="298" w:lineRule="exact"/>
        <w:rPr>
          <w:color w:val="auto"/>
          <w:sz w:val="20"/>
          <w:szCs w:val="20"/>
          <w:shd w:val="clear" w:color="auto" w:fill="auto"/>
        </w:rPr>
      </w:pPr>
    </w:p>
    <w:p>
      <w:pPr>
        <w:spacing w:after="0" w:line="341" w:lineRule="exact"/>
        <w:ind w:left="540"/>
        <w:rPr>
          <w:color w:val="auto"/>
          <w:sz w:val="20"/>
          <w:szCs w:val="20"/>
          <w:shd w:val="clear" w:color="auto" w:fill="auto"/>
        </w:rPr>
      </w:pPr>
      <w:r>
        <w:rPr>
          <w:rFonts w:ascii="宋体" w:hAnsi="宋体" w:eastAsia="宋体" w:cs="宋体"/>
          <w:b/>
          <w:bCs/>
          <w:color w:val="auto"/>
          <w:sz w:val="28"/>
          <w:szCs w:val="28"/>
          <w:shd w:val="clear" w:color="auto" w:fill="auto"/>
        </w:rPr>
        <w:t>——基于六所高校章程文本的分析</w:t>
      </w:r>
      <w:r>
        <w:rPr>
          <w:rFonts w:ascii="宋体" w:hAnsi="宋体" w:eastAsia="宋体" w:cs="宋体"/>
          <w:b/>
          <w:bCs/>
          <w:color w:val="auto"/>
          <w:sz w:val="28"/>
          <w:szCs w:val="28"/>
          <w:shd w:val="clear" w:color="auto" w:fill="auto"/>
        </w:rPr>
        <w:t>……………………………………</w:t>
      </w:r>
      <w:r>
        <w:rPr>
          <w:rFonts w:ascii="Times New Roman" w:hAnsi="Times New Roman" w:eastAsia="Times New Roman" w:cs="Times New Roman"/>
          <w:b/>
          <w:bCs/>
          <w:color w:val="auto"/>
          <w:sz w:val="28"/>
          <w:szCs w:val="28"/>
          <w:shd w:val="clear" w:color="auto" w:fill="auto"/>
        </w:rPr>
        <w:t>24</w:t>
      </w:r>
    </w:p>
    <w:p>
      <w:pPr>
        <w:spacing w:after="0" w:line="283" w:lineRule="exact"/>
        <w:rPr>
          <w:color w:val="auto"/>
          <w:sz w:val="20"/>
          <w:szCs w:val="20"/>
          <w:shd w:val="clear" w:color="auto" w:fill="auto"/>
        </w:rPr>
      </w:pPr>
    </w:p>
    <w:p>
      <w:pPr>
        <w:spacing w:after="0" w:line="341" w:lineRule="exact"/>
        <w:rPr>
          <w:color w:val="auto"/>
          <w:sz w:val="20"/>
          <w:szCs w:val="20"/>
          <w:shd w:val="clear" w:color="auto" w:fill="auto"/>
        </w:rPr>
      </w:pPr>
      <w:r>
        <w:rPr>
          <w:rFonts w:ascii="宋体" w:hAnsi="宋体" w:eastAsia="宋体" w:cs="宋体"/>
          <w:b/>
          <w:bCs/>
          <w:color w:val="auto"/>
          <w:sz w:val="28"/>
          <w:szCs w:val="28"/>
          <w:shd w:val="clear" w:color="auto" w:fill="auto"/>
        </w:rPr>
        <w:t>现代大学制度、大学章程与大学治理</w:t>
      </w:r>
      <w:r>
        <w:rPr>
          <w:rFonts w:ascii="宋体" w:hAnsi="宋体" w:eastAsia="宋体" w:cs="宋体"/>
          <w:b/>
          <w:bCs/>
          <w:color w:val="auto"/>
          <w:sz w:val="28"/>
          <w:szCs w:val="28"/>
          <w:shd w:val="clear" w:color="auto" w:fill="auto"/>
        </w:rPr>
        <w:t>………………………………………</w:t>
      </w:r>
      <w:r>
        <w:rPr>
          <w:rFonts w:ascii="Times New Roman" w:hAnsi="Times New Roman" w:eastAsia="Times New Roman" w:cs="Times New Roman"/>
          <w:b/>
          <w:bCs/>
          <w:color w:val="auto"/>
          <w:sz w:val="28"/>
          <w:szCs w:val="28"/>
          <w:shd w:val="clear" w:color="auto" w:fill="auto"/>
        </w:rPr>
        <w:t>34</w:t>
      </w:r>
    </w:p>
    <w:p>
      <w:pPr>
        <w:spacing w:after="0" w:line="283" w:lineRule="exact"/>
        <w:rPr>
          <w:color w:val="auto"/>
          <w:sz w:val="20"/>
          <w:szCs w:val="20"/>
          <w:shd w:val="clear" w:color="auto" w:fill="auto"/>
        </w:rPr>
      </w:pPr>
    </w:p>
    <w:p>
      <w:pPr>
        <w:spacing w:after="0" w:line="341" w:lineRule="exact"/>
        <w:rPr>
          <w:color w:val="auto"/>
          <w:sz w:val="20"/>
          <w:szCs w:val="20"/>
          <w:shd w:val="clear" w:color="auto" w:fill="auto"/>
        </w:rPr>
      </w:pPr>
      <w:r>
        <w:rPr>
          <w:rFonts w:ascii="宋体" w:hAnsi="宋体" w:eastAsia="宋体" w:cs="宋体"/>
          <w:b/>
          <w:bCs/>
          <w:color w:val="auto"/>
          <w:sz w:val="28"/>
          <w:szCs w:val="28"/>
          <w:shd w:val="clear" w:color="auto" w:fill="auto"/>
        </w:rPr>
        <w:t>大学章程地位与要素的国际比较</w:t>
      </w:r>
      <w:r>
        <w:rPr>
          <w:rFonts w:ascii="宋体" w:hAnsi="宋体" w:eastAsia="宋体" w:cs="宋体"/>
          <w:b/>
          <w:bCs/>
          <w:color w:val="auto"/>
          <w:sz w:val="28"/>
          <w:szCs w:val="28"/>
          <w:shd w:val="clear" w:color="auto" w:fill="auto"/>
        </w:rPr>
        <w:t>……………………………………………</w:t>
      </w:r>
      <w:r>
        <w:rPr>
          <w:rFonts w:ascii="Times New Roman" w:hAnsi="Times New Roman" w:eastAsia="Times New Roman" w:cs="Times New Roman"/>
          <w:b/>
          <w:bCs/>
          <w:color w:val="auto"/>
          <w:sz w:val="28"/>
          <w:szCs w:val="28"/>
          <w:shd w:val="clear" w:color="auto" w:fill="auto"/>
        </w:rPr>
        <w:t>42</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56" w:lineRule="exact"/>
        <w:rPr>
          <w:color w:val="auto"/>
          <w:sz w:val="20"/>
          <w:szCs w:val="20"/>
          <w:shd w:val="clear" w:color="auto" w:fill="auto"/>
        </w:rPr>
      </w:pPr>
    </w:p>
    <w:p>
      <w:pPr>
        <w:spacing w:after="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w:t>
      </w:r>
    </w:p>
    <w:p>
      <w:pPr>
        <w:rPr>
          <w:shd w:val="clear" w:color="auto" w:fill="auto"/>
        </w:rPr>
        <w:sectPr>
          <w:pgSz w:w="11900" w:h="16840"/>
          <w:pgMar w:top="1440" w:right="1424" w:bottom="587" w:left="1420" w:header="0" w:footer="0" w:gutter="0"/>
          <w:cols w:equalWidth="0" w:num="1">
            <w:col w:w="9060"/>
          </w:cols>
        </w:sectPr>
      </w:pPr>
    </w:p>
    <w:p>
      <w:pPr>
        <w:spacing w:after="0" w:line="200" w:lineRule="exact"/>
        <w:rPr>
          <w:color w:val="auto"/>
          <w:sz w:val="20"/>
          <w:szCs w:val="20"/>
          <w:shd w:val="clear" w:color="auto" w:fill="auto"/>
        </w:rPr>
      </w:pPr>
      <w:bookmarkStart w:id="3" w:name="page3"/>
      <w:bookmarkEnd w:id="3"/>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1893570</wp:posOffset>
                </wp:positionH>
                <wp:positionV relativeFrom="page">
                  <wp:posOffset>1527175</wp:posOffset>
                </wp:positionV>
                <wp:extent cx="3912235" cy="415925"/>
                <wp:effectExtent l="0" t="0" r="12065" b="3175"/>
                <wp:wrapNone/>
                <wp:docPr id="2" name="Shape 2"/>
                <wp:cNvGraphicFramePr/>
                <a:graphic xmlns:a="http://schemas.openxmlformats.org/drawingml/2006/main">
                  <a:graphicData uri="http://schemas.microsoft.com/office/word/2010/wordprocessingShape">
                    <wps:wsp>
                      <wps:cNvSpPr/>
                      <wps:spPr>
                        <a:xfrm>
                          <a:off x="0" y="0"/>
                          <a:ext cx="3912235" cy="415925"/>
                        </a:xfrm>
                        <a:prstGeom prst="rect">
                          <a:avLst/>
                        </a:prstGeom>
                        <a:solidFill>
                          <a:srgbClr val="D9D9D9"/>
                        </a:solidFill>
                      </wps:spPr>
                      <wps:bodyPr/>
                    </wps:wsp>
                  </a:graphicData>
                </a:graphic>
              </wp:anchor>
            </w:drawing>
          </mc:Choice>
          <mc:Fallback>
            <w:pict>
              <v:rect id="Shape 2" o:spid="_x0000_s1026" o:spt="1" style="position:absolute;left:0pt;margin-left:149.1pt;margin-top:120.25pt;height:32.75pt;width:308.05pt;mso-position-horizontal-relative:page;mso-position-vertical-relative:page;z-index:-251658240;mso-width-relative:page;mso-height-relative:page;" fillcolor="#D9D9D9" filled="t" stroked="f" coordsize="21600,21600" o:allowincell="f" o:gfxdata="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28" w:lineRule="exact"/>
        <w:rPr>
          <w:color w:val="auto"/>
          <w:sz w:val="20"/>
          <w:szCs w:val="20"/>
          <w:shd w:val="clear" w:color="auto" w:fill="auto"/>
        </w:rPr>
      </w:pPr>
    </w:p>
    <w:p>
      <w:pPr>
        <w:spacing w:after="0" w:line="502" w:lineRule="exact"/>
        <w:ind w:right="-99"/>
        <w:jc w:val="center"/>
        <w:rPr>
          <w:color w:val="auto"/>
          <w:sz w:val="20"/>
          <w:szCs w:val="20"/>
          <w:shd w:val="clear" w:color="auto" w:fill="auto"/>
        </w:rPr>
      </w:pPr>
      <w:r>
        <w:rPr>
          <w:rFonts w:ascii="宋体" w:hAnsi="宋体" w:eastAsia="宋体" w:cs="宋体"/>
          <w:color w:val="auto"/>
          <w:sz w:val="44"/>
          <w:szCs w:val="44"/>
          <w:shd w:val="clear" w:color="auto" w:fill="auto"/>
        </w:rPr>
        <w:t>规范促进治理 特色引领发展</w:t>
      </w:r>
    </w:p>
    <w:p>
      <w:pPr>
        <w:spacing w:after="0" w:line="20" w:lineRule="exact"/>
        <w:rPr>
          <w:color w:val="auto"/>
          <w:sz w:val="20"/>
          <w:szCs w:val="20"/>
          <w:shd w:val="clear" w:color="auto" w:fill="auto"/>
        </w:rPr>
      </w:pPr>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column">
                  <wp:posOffset>1970405</wp:posOffset>
                </wp:positionH>
                <wp:positionV relativeFrom="paragraph">
                  <wp:posOffset>57785</wp:posOffset>
                </wp:positionV>
                <wp:extent cx="1955800" cy="415925"/>
                <wp:effectExtent l="0" t="0" r="6350" b="3175"/>
                <wp:wrapNone/>
                <wp:docPr id="3" name="Shape 3"/>
                <wp:cNvGraphicFramePr/>
                <a:graphic xmlns:a="http://schemas.openxmlformats.org/drawingml/2006/main">
                  <a:graphicData uri="http://schemas.microsoft.com/office/word/2010/wordprocessingShape">
                    <wps:wsp>
                      <wps:cNvSpPr/>
                      <wps:spPr>
                        <a:xfrm>
                          <a:off x="0" y="0"/>
                          <a:ext cx="1955800" cy="415925"/>
                        </a:xfrm>
                        <a:prstGeom prst="rect">
                          <a:avLst/>
                        </a:prstGeom>
                        <a:solidFill>
                          <a:srgbClr val="D9D9D9"/>
                        </a:solidFill>
                      </wps:spPr>
                      <wps:bodyPr/>
                    </wps:wsp>
                  </a:graphicData>
                </a:graphic>
              </wp:anchor>
            </w:drawing>
          </mc:Choice>
          <mc:Fallback>
            <w:pict>
              <v:rect id="Shape 3" o:spid="_x0000_s1026" o:spt="1" style="position:absolute;left:0pt;margin-left:155.15pt;margin-top:4.55pt;height:32.75pt;width:154pt;z-index:-251658240;mso-width-relative:page;mso-height-relative:page;" fillcolor="#D9D9D9" filled="t" stroked="f" coordsize="21600,21600" o:allowincell="f" o:gfxdata="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DvP&#10;CIbaAAAACAEAAA8AAAAAAAAAAQAgAAAAIgAAAGRycy9kb3ducmV2LnhtbFBLAQIUABQAAAAIAIdO&#10;4kAMQdg2dgEAAOwCAAAOAAAAAAAAAAEAIAAAACkBAABkcnMvZTJvRG9jLnhtbFBLBQYAAAAABgAG&#10;AFkBAAARBQAAAAA=&#10;">
                <v:fill on="t" focussize="0,0"/>
                <v:stroke on="f"/>
                <v:imagedata o:title=""/>
                <o:lock v:ext="edit" aspectratio="f"/>
              </v:rect>
            </w:pict>
          </mc:Fallback>
        </mc:AlternateContent>
      </w:r>
    </w:p>
    <w:p>
      <w:pPr>
        <w:spacing w:after="0" w:line="133" w:lineRule="exact"/>
        <w:rPr>
          <w:color w:val="auto"/>
          <w:sz w:val="20"/>
          <w:szCs w:val="20"/>
          <w:shd w:val="clear" w:color="auto" w:fill="auto"/>
        </w:rPr>
      </w:pPr>
    </w:p>
    <w:p>
      <w:pPr>
        <w:spacing w:after="0" w:line="502" w:lineRule="exact"/>
        <w:ind w:right="-99"/>
        <w:jc w:val="center"/>
        <w:rPr>
          <w:color w:val="auto"/>
          <w:sz w:val="20"/>
          <w:szCs w:val="20"/>
          <w:shd w:val="clear" w:color="auto" w:fill="auto"/>
        </w:rPr>
      </w:pPr>
      <w:r>
        <w:rPr>
          <w:rFonts w:ascii="宋体" w:hAnsi="宋体" w:eastAsia="宋体" w:cs="宋体"/>
          <w:color w:val="auto"/>
          <w:sz w:val="44"/>
          <w:szCs w:val="44"/>
          <w:shd w:val="clear" w:color="auto" w:fill="auto"/>
        </w:rPr>
        <w:t>制度驱动改革</w:t>
      </w:r>
    </w:p>
    <w:p>
      <w:pPr>
        <w:spacing w:after="0" w:line="200" w:lineRule="exact"/>
        <w:rPr>
          <w:color w:val="auto"/>
          <w:sz w:val="20"/>
          <w:szCs w:val="20"/>
          <w:shd w:val="clear" w:color="auto" w:fill="auto"/>
        </w:rPr>
      </w:pPr>
    </w:p>
    <w:p>
      <w:pPr>
        <w:spacing w:after="0" w:line="375" w:lineRule="exact"/>
        <w:rPr>
          <w:color w:val="auto"/>
          <w:sz w:val="20"/>
          <w:szCs w:val="20"/>
          <w:shd w:val="clear" w:color="auto" w:fill="auto"/>
        </w:rPr>
      </w:pPr>
    </w:p>
    <w:p>
      <w:pPr>
        <w:spacing w:after="0" w:line="366" w:lineRule="exact"/>
        <w:ind w:right="120"/>
        <w:jc w:val="center"/>
        <w:rPr>
          <w:color w:val="auto"/>
          <w:sz w:val="20"/>
          <w:szCs w:val="20"/>
          <w:shd w:val="clear" w:color="auto" w:fill="auto"/>
        </w:rPr>
      </w:pPr>
      <w:r>
        <w:rPr>
          <w:rFonts w:ascii="楷体" w:hAnsi="楷体" w:eastAsia="楷体" w:cs="楷体"/>
          <w:b/>
          <w:bCs/>
          <w:color w:val="auto"/>
          <w:sz w:val="32"/>
          <w:szCs w:val="32"/>
          <w:shd w:val="clear" w:color="auto" w:fill="auto"/>
        </w:rPr>
        <w:t>高等教育研究所</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56" w:lineRule="exact"/>
        <w:rPr>
          <w:color w:val="auto"/>
          <w:sz w:val="20"/>
          <w:szCs w:val="20"/>
          <w:shd w:val="clear" w:color="auto" w:fill="auto"/>
        </w:rPr>
      </w:pPr>
    </w:p>
    <w:p>
      <w:pPr>
        <w:spacing w:after="0" w:line="340" w:lineRule="exact"/>
        <w:ind w:right="60" w:firstLine="480"/>
        <w:rPr>
          <w:color w:val="auto"/>
          <w:sz w:val="20"/>
          <w:szCs w:val="20"/>
          <w:shd w:val="clear" w:color="auto" w:fill="auto"/>
        </w:rPr>
      </w:pPr>
      <w:r>
        <w:rPr>
          <w:rFonts w:ascii="宋体" w:hAnsi="宋体" w:eastAsia="宋体" w:cs="宋体"/>
          <w:color w:val="auto"/>
          <w:sz w:val="24"/>
          <w:szCs w:val="24"/>
          <w:shd w:val="clear" w:color="auto" w:fill="auto"/>
        </w:rPr>
        <w:t>《防灾科技学院章程（核准稿）》是学院的“宪章”和“基本大法”，是自主管理、依法治校的法律基础，也是广大师生员工和社会监督学校依法办学的重要依据。</w:t>
      </w:r>
    </w:p>
    <w:p>
      <w:pPr>
        <w:spacing w:after="0" w:line="168"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一、主要内容</w:t>
      </w:r>
    </w:p>
    <w:p>
      <w:pPr>
        <w:spacing w:after="0" w:line="198" w:lineRule="exact"/>
        <w:rPr>
          <w:color w:val="auto"/>
          <w:sz w:val="20"/>
          <w:szCs w:val="20"/>
          <w:shd w:val="clear" w:color="auto" w:fill="auto"/>
        </w:rPr>
      </w:pPr>
    </w:p>
    <w:p>
      <w:pPr>
        <w:spacing w:after="0" w:line="340" w:lineRule="exact"/>
        <w:ind w:firstLine="480"/>
        <w:rPr>
          <w:color w:val="auto"/>
          <w:sz w:val="20"/>
          <w:szCs w:val="20"/>
          <w:shd w:val="clear" w:color="auto" w:fill="auto"/>
        </w:rPr>
      </w:pPr>
      <w:r>
        <w:rPr>
          <w:rFonts w:ascii="宋体" w:hAnsi="宋体" w:eastAsia="宋体" w:cs="宋体"/>
          <w:color w:val="auto"/>
          <w:sz w:val="23"/>
          <w:szCs w:val="23"/>
          <w:shd w:val="clear" w:color="auto" w:fill="auto"/>
        </w:rPr>
        <w:t>学院章程的主要内容包括序言、总则、学校与主管部门、内部治理结构、教职员工、学生、经费、资产及其管理、学校与社会、学校标识和附则。共计十个部分，88 条。</w:t>
      </w:r>
    </w:p>
    <w:p>
      <w:pPr>
        <w:spacing w:after="0" w:line="166"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序言主要介绍了学校的历史沿革和办学定位。</w:t>
      </w:r>
    </w:p>
    <w:p>
      <w:pPr>
        <w:spacing w:after="0" w:line="200" w:lineRule="exact"/>
        <w:rPr>
          <w:color w:val="auto"/>
          <w:sz w:val="20"/>
          <w:szCs w:val="20"/>
          <w:shd w:val="clear" w:color="auto" w:fill="auto"/>
        </w:rPr>
      </w:pPr>
    </w:p>
    <w:p>
      <w:pPr>
        <w:spacing w:after="0" w:line="373"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第一章 总则，涵盖的主要内容有：制定依据以及学校的基本信息和基本职能，尤其强调了学校应用型大学的发展方向和立足防灾减灾事业，切实推进高水平防灾特色大学的建设思路。</w:t>
      </w:r>
    </w:p>
    <w:p>
      <w:pPr>
        <w:spacing w:after="0" w:line="167" w:lineRule="exact"/>
        <w:rPr>
          <w:color w:val="auto"/>
          <w:sz w:val="20"/>
          <w:szCs w:val="20"/>
          <w:shd w:val="clear" w:color="auto" w:fill="auto"/>
        </w:rPr>
      </w:pPr>
    </w:p>
    <w:p>
      <w:pPr>
        <w:tabs>
          <w:tab w:val="left" w:pos="1420"/>
        </w:tabs>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第二章</w:t>
      </w:r>
      <w:r>
        <w:rPr>
          <w:rFonts w:ascii="宋体" w:hAnsi="宋体" w:eastAsia="宋体" w:cs="宋体"/>
          <w:color w:val="auto"/>
          <w:sz w:val="24"/>
          <w:szCs w:val="24"/>
          <w:shd w:val="clear" w:color="auto" w:fill="auto"/>
        </w:rPr>
        <w:tab/>
      </w:r>
      <w:r>
        <w:rPr>
          <w:rFonts w:ascii="宋体" w:hAnsi="宋体" w:eastAsia="宋体" w:cs="宋体"/>
          <w:color w:val="auto"/>
          <w:sz w:val="24"/>
          <w:szCs w:val="24"/>
          <w:shd w:val="clear" w:color="auto" w:fill="auto"/>
        </w:rPr>
        <w:t>学校与主管部门，进一步厘清了举办者和学校各自享有的权利和履行的职</w:t>
      </w:r>
    </w:p>
    <w:p>
      <w:pPr>
        <w:spacing w:after="0" w:line="167"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责。</w:t>
      </w:r>
    </w:p>
    <w:p>
      <w:pPr>
        <w:spacing w:after="0" w:line="199" w:lineRule="exact"/>
        <w:rPr>
          <w:color w:val="auto"/>
          <w:sz w:val="20"/>
          <w:szCs w:val="20"/>
          <w:shd w:val="clear" w:color="auto" w:fill="auto"/>
        </w:rPr>
      </w:pPr>
    </w:p>
    <w:p>
      <w:pPr>
        <w:spacing w:after="0" w:line="340"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第三章 内部治理结构，按照“党委领导、校长负责、教授治学、民主监督”的原则，共分为领导体制、决策机制、教学科研机构、学术组织和民主管理五节内容。</w:t>
      </w:r>
    </w:p>
    <w:p>
      <w:pPr>
        <w:spacing w:after="0" w:line="201" w:lineRule="exact"/>
        <w:rPr>
          <w:color w:val="auto"/>
          <w:sz w:val="20"/>
          <w:szCs w:val="20"/>
          <w:shd w:val="clear" w:color="auto" w:fill="auto"/>
        </w:rPr>
      </w:pPr>
    </w:p>
    <w:p>
      <w:pPr>
        <w:spacing w:after="0" w:line="373"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第四章 教职员工、第五章学生，内容主要包括师生两大办学主体的权利和义务、管理与服务和权利保障等，对教职员工和学生的权益保护和申诉救济制度等都作了专门条款的规定。</w:t>
      </w:r>
    </w:p>
    <w:p>
      <w:pPr>
        <w:spacing w:after="0" w:line="201" w:lineRule="exact"/>
        <w:rPr>
          <w:color w:val="auto"/>
          <w:sz w:val="20"/>
          <w:szCs w:val="20"/>
          <w:shd w:val="clear" w:color="auto" w:fill="auto"/>
        </w:rPr>
      </w:pPr>
    </w:p>
    <w:p>
      <w:pPr>
        <w:spacing w:after="0" w:line="339" w:lineRule="exact"/>
        <w:ind w:right="120" w:firstLine="480"/>
        <w:rPr>
          <w:color w:val="auto"/>
          <w:sz w:val="20"/>
          <w:szCs w:val="20"/>
          <w:shd w:val="clear" w:color="auto" w:fill="auto"/>
        </w:rPr>
      </w:pPr>
      <w:r>
        <w:rPr>
          <w:rFonts w:ascii="宋体" w:hAnsi="宋体" w:eastAsia="宋体" w:cs="宋体"/>
          <w:color w:val="auto"/>
          <w:sz w:val="24"/>
          <w:szCs w:val="24"/>
          <w:shd w:val="clear" w:color="auto" w:fill="auto"/>
        </w:rPr>
        <w:t>第六章 经费、资产及其管理，主要阐述学校经费、财务和资产管理原则及保障体系中的其他原则。</w:t>
      </w:r>
    </w:p>
    <w:p>
      <w:pPr>
        <w:spacing w:after="0" w:line="202" w:lineRule="exact"/>
        <w:rPr>
          <w:color w:val="auto"/>
          <w:sz w:val="20"/>
          <w:szCs w:val="20"/>
          <w:shd w:val="clear" w:color="auto" w:fill="auto"/>
        </w:rPr>
      </w:pPr>
    </w:p>
    <w:p>
      <w:pPr>
        <w:spacing w:after="0" w:line="340" w:lineRule="exact"/>
        <w:ind w:right="120" w:firstLine="480"/>
        <w:rPr>
          <w:color w:val="auto"/>
          <w:sz w:val="20"/>
          <w:szCs w:val="20"/>
          <w:shd w:val="clear" w:color="auto" w:fill="auto"/>
        </w:rPr>
      </w:pPr>
      <w:r>
        <w:rPr>
          <w:rFonts w:ascii="宋体" w:hAnsi="宋体" w:eastAsia="宋体" w:cs="宋体"/>
          <w:color w:val="auto"/>
          <w:sz w:val="24"/>
          <w:szCs w:val="24"/>
          <w:shd w:val="clear" w:color="auto" w:fill="auto"/>
        </w:rPr>
        <w:t>第七章 学校与社会，主要阐述学校与政府、社会之间的关系，包括理事会、校友会和教育基金会等内容。</w:t>
      </w:r>
    </w:p>
    <w:p>
      <w:pPr>
        <w:spacing w:after="0" w:line="166" w:lineRule="exact"/>
        <w:rPr>
          <w:color w:val="auto"/>
          <w:sz w:val="20"/>
          <w:szCs w:val="20"/>
          <w:shd w:val="clear" w:color="auto" w:fill="auto"/>
        </w:rPr>
      </w:pPr>
    </w:p>
    <w:p>
      <w:pPr>
        <w:tabs>
          <w:tab w:val="left" w:pos="1420"/>
        </w:tabs>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第八章</w:t>
      </w:r>
      <w:r>
        <w:rPr>
          <w:rFonts w:ascii="宋体" w:hAnsi="宋体" w:eastAsia="宋体" w:cs="宋体"/>
          <w:color w:val="auto"/>
          <w:sz w:val="24"/>
          <w:szCs w:val="24"/>
          <w:shd w:val="clear" w:color="auto" w:fill="auto"/>
        </w:rPr>
        <w:tab/>
      </w:r>
      <w:r>
        <w:rPr>
          <w:rFonts w:ascii="宋体" w:hAnsi="宋体" w:eastAsia="宋体" w:cs="宋体"/>
          <w:color w:val="auto"/>
          <w:sz w:val="24"/>
          <w:szCs w:val="24"/>
          <w:shd w:val="clear" w:color="auto" w:fill="auto"/>
        </w:rPr>
        <w:t>学校标识，包括徽志、徽标、校旗、校庆日等。</w:t>
      </w:r>
    </w:p>
    <w:p>
      <w:pPr>
        <w:spacing w:after="0" w:line="167" w:lineRule="exact"/>
        <w:rPr>
          <w:color w:val="auto"/>
          <w:sz w:val="20"/>
          <w:szCs w:val="20"/>
          <w:shd w:val="clear" w:color="auto" w:fill="auto"/>
        </w:rPr>
      </w:pPr>
    </w:p>
    <w:p>
      <w:pPr>
        <w:tabs>
          <w:tab w:val="left" w:pos="1420"/>
        </w:tabs>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第九章</w:t>
      </w:r>
      <w:r>
        <w:rPr>
          <w:rFonts w:ascii="宋体" w:hAnsi="宋体" w:eastAsia="宋体" w:cs="宋体"/>
          <w:color w:val="auto"/>
          <w:sz w:val="24"/>
          <w:szCs w:val="24"/>
          <w:shd w:val="clear" w:color="auto" w:fill="auto"/>
        </w:rPr>
        <w:tab/>
      </w:r>
      <w:r>
        <w:rPr>
          <w:rFonts w:ascii="宋体" w:hAnsi="宋体" w:eastAsia="宋体" w:cs="宋体"/>
          <w:color w:val="auto"/>
          <w:sz w:val="24"/>
          <w:szCs w:val="24"/>
          <w:shd w:val="clear" w:color="auto" w:fill="auto"/>
        </w:rPr>
        <w:t>附则，阐述了制定和修订的基本程序、解释权和时效等。</w:t>
      </w:r>
    </w:p>
    <w:p>
      <w:pPr>
        <w:spacing w:after="0" w:line="380"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w:t>
      </w:r>
    </w:p>
    <w:p>
      <w:pPr>
        <w:rPr>
          <w:shd w:val="clear" w:color="auto" w:fill="auto"/>
        </w:rPr>
        <w:sectPr>
          <w:pgSz w:w="11900" w:h="16840"/>
          <w:pgMar w:top="1440" w:right="1304" w:bottom="587" w:left="1420" w:header="0" w:footer="0" w:gutter="0"/>
          <w:cols w:equalWidth="0" w:num="1">
            <w:col w:w="9180"/>
          </w:cols>
        </w:sectPr>
      </w:pPr>
    </w:p>
    <w:p>
      <w:pPr>
        <w:spacing w:after="0" w:line="92" w:lineRule="exact"/>
        <w:rPr>
          <w:color w:val="auto"/>
          <w:sz w:val="20"/>
          <w:szCs w:val="20"/>
          <w:shd w:val="clear" w:color="auto" w:fill="auto"/>
        </w:rPr>
      </w:pPr>
      <w:bookmarkStart w:id="4" w:name="page4"/>
      <w:bookmarkEnd w:id="4"/>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二、特色与创新</w:t>
      </w:r>
    </w:p>
    <w:p>
      <w:pPr>
        <w:spacing w:after="0" w:line="197" w:lineRule="exact"/>
        <w:rPr>
          <w:color w:val="auto"/>
          <w:sz w:val="20"/>
          <w:szCs w:val="20"/>
          <w:shd w:val="clear" w:color="auto" w:fill="auto"/>
        </w:rPr>
      </w:pPr>
    </w:p>
    <w:p>
      <w:pPr>
        <w:spacing w:after="0" w:line="340"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大学章程建设工作是个长期的系统工程。此次学院章程的编制工作在最大限度上解决了有法可依，依章办学的问题。主要特色体现在：</w:t>
      </w:r>
    </w:p>
    <w:p>
      <w:pPr>
        <w:spacing w:after="0" w:line="201" w:lineRule="exact"/>
        <w:rPr>
          <w:color w:val="auto"/>
          <w:sz w:val="20"/>
          <w:szCs w:val="20"/>
          <w:shd w:val="clear" w:color="auto" w:fill="auto"/>
        </w:rPr>
      </w:pPr>
    </w:p>
    <w:p>
      <w:pPr>
        <w:spacing w:after="0" w:line="407" w:lineRule="exact"/>
        <w:ind w:right="100" w:firstLine="482"/>
        <w:jc w:val="both"/>
        <w:rPr>
          <w:color w:val="auto"/>
          <w:sz w:val="20"/>
          <w:szCs w:val="20"/>
          <w:shd w:val="clear" w:color="auto" w:fill="auto"/>
        </w:rPr>
      </w:pPr>
      <w:r>
        <w:rPr>
          <w:rFonts w:ascii="楷体" w:hAnsi="楷体" w:eastAsia="楷体" w:cs="楷体"/>
          <w:b/>
          <w:bCs/>
          <w:color w:val="auto"/>
          <w:sz w:val="24"/>
          <w:szCs w:val="24"/>
          <w:shd w:val="clear" w:color="auto" w:fill="auto"/>
        </w:rPr>
        <w:t>一是突出了防灾减灾的办学特色。</w:t>
      </w:r>
      <w:r>
        <w:rPr>
          <w:rFonts w:ascii="宋体" w:hAnsi="宋体" w:eastAsia="宋体" w:cs="宋体"/>
          <w:color w:val="auto"/>
          <w:sz w:val="24"/>
          <w:szCs w:val="24"/>
          <w:shd w:val="clear" w:color="auto" w:fill="auto"/>
        </w:rPr>
        <w:t>《章程（送审稿）》立足我校定位，在章程的序言和总则中确立了学校肩负的历史使命，建设高水平防灾特色大学，最大限度地减轻灾害损失。在总结梳理四十余年教育经验的基础上，进一步明确了立足防灾减灾行业，服务国家战略需求，“面向防灾减灾科技前沿和监测预测、灾害防御、应急救援、灾后恢复重建等领域，培养具有高度的社会责任感、过硬的创新精神和实践能力的高级应用型人才”的人才培养定位。</w:t>
      </w:r>
    </w:p>
    <w:p>
      <w:pPr>
        <w:spacing w:after="0" w:line="204" w:lineRule="exact"/>
        <w:rPr>
          <w:color w:val="auto"/>
          <w:sz w:val="20"/>
          <w:szCs w:val="20"/>
          <w:shd w:val="clear" w:color="auto" w:fill="auto"/>
        </w:rPr>
      </w:pPr>
    </w:p>
    <w:p>
      <w:pPr>
        <w:spacing w:after="0" w:line="407" w:lineRule="exact"/>
        <w:ind w:right="120" w:firstLine="482"/>
        <w:jc w:val="both"/>
        <w:rPr>
          <w:color w:val="auto"/>
          <w:sz w:val="20"/>
          <w:szCs w:val="20"/>
          <w:shd w:val="clear" w:color="auto" w:fill="auto"/>
        </w:rPr>
      </w:pPr>
      <w:r>
        <w:rPr>
          <w:rFonts w:ascii="楷体" w:hAnsi="楷体" w:eastAsia="楷体" w:cs="楷体"/>
          <w:b/>
          <w:bCs/>
          <w:color w:val="auto"/>
          <w:sz w:val="24"/>
          <w:szCs w:val="24"/>
          <w:shd w:val="clear" w:color="auto" w:fill="auto"/>
        </w:rPr>
        <w:t>二是强化了师生为本的理念。</w:t>
      </w:r>
      <w:r>
        <w:rPr>
          <w:rFonts w:ascii="宋体" w:hAnsi="宋体" w:eastAsia="宋体" w:cs="宋体"/>
          <w:color w:val="auto"/>
          <w:sz w:val="24"/>
          <w:szCs w:val="24"/>
          <w:shd w:val="clear" w:color="auto" w:fill="auto"/>
        </w:rPr>
        <w:t>《章程（送审稿）》明确了教师和学生分别作为“办学的主体”和“教育的主体”的权利义务，以及学校对教师、学生进行管理的有关原则与规定，规范了教师、学生权利保护制度，强化了主体权利意识，体现了以人为本教育理念。尤其对于教职工、学生的权利做了具体明确的规定，除了法定的权利，还结合学校实际赋予教职工、学生享有更多具体权利，包括知情权、参与管理权、复议权、申诉权等，切实体现以生为本，维护教职工和学生的合法权益。</w:t>
      </w:r>
    </w:p>
    <w:p>
      <w:pPr>
        <w:spacing w:after="0" w:line="204" w:lineRule="exact"/>
        <w:rPr>
          <w:color w:val="auto"/>
          <w:sz w:val="20"/>
          <w:szCs w:val="20"/>
          <w:shd w:val="clear" w:color="auto" w:fill="auto"/>
        </w:rPr>
      </w:pPr>
    </w:p>
    <w:p>
      <w:pPr>
        <w:spacing w:after="0" w:line="373" w:lineRule="exact"/>
        <w:ind w:right="120" w:firstLine="482"/>
        <w:jc w:val="both"/>
        <w:rPr>
          <w:color w:val="auto"/>
          <w:sz w:val="20"/>
          <w:szCs w:val="20"/>
          <w:shd w:val="clear" w:color="auto" w:fill="auto"/>
        </w:rPr>
      </w:pPr>
      <w:r>
        <w:rPr>
          <w:rFonts w:ascii="楷体" w:hAnsi="楷体" w:eastAsia="楷体" w:cs="楷体"/>
          <w:b/>
          <w:bCs/>
          <w:color w:val="auto"/>
          <w:sz w:val="24"/>
          <w:szCs w:val="24"/>
          <w:shd w:val="clear" w:color="auto" w:fill="auto"/>
        </w:rPr>
        <w:t>三是明晰了内部治理结构。</w:t>
      </w:r>
      <w:r>
        <w:rPr>
          <w:rFonts w:ascii="宋体" w:hAnsi="宋体" w:eastAsia="宋体" w:cs="宋体"/>
          <w:color w:val="auto"/>
          <w:sz w:val="24"/>
          <w:szCs w:val="24"/>
          <w:shd w:val="clear" w:color="auto" w:fill="auto"/>
        </w:rPr>
        <w:t>《章程（送审稿）》严格按照上位法和国家对高校章程制定的精神，将学校内部治理结构以及学校下设各类组织机构的职责和权限进行了系统梳理和较为明确的界定。</w:t>
      </w:r>
    </w:p>
    <w:p>
      <w:pPr>
        <w:spacing w:after="0" w:line="201" w:lineRule="exact"/>
        <w:rPr>
          <w:color w:val="auto"/>
          <w:sz w:val="20"/>
          <w:szCs w:val="20"/>
          <w:shd w:val="clear" w:color="auto" w:fill="auto"/>
        </w:rPr>
      </w:pPr>
    </w:p>
    <w:p>
      <w:pPr>
        <w:spacing w:after="0" w:line="339" w:lineRule="exact"/>
        <w:ind w:firstLine="480"/>
        <w:rPr>
          <w:color w:val="auto"/>
          <w:sz w:val="20"/>
          <w:szCs w:val="20"/>
          <w:shd w:val="clear" w:color="auto" w:fill="auto"/>
        </w:rPr>
      </w:pPr>
      <w:r>
        <w:rPr>
          <w:rFonts w:ascii="宋体" w:hAnsi="宋体" w:eastAsia="宋体" w:cs="宋体"/>
          <w:color w:val="auto"/>
          <w:sz w:val="23"/>
          <w:szCs w:val="23"/>
          <w:shd w:val="clear" w:color="auto" w:fill="auto"/>
        </w:rPr>
        <w:t>在领导体制方面，贯彻执行“党委领导下的校长负责制”，确定实行党委统一领导、校长主持行政、教授治学、民主管理的制度，规定了党委与行政各自承担的职权和职责。</w:t>
      </w:r>
    </w:p>
    <w:p>
      <w:pPr>
        <w:spacing w:after="0" w:line="202" w:lineRule="exact"/>
        <w:rPr>
          <w:color w:val="auto"/>
          <w:sz w:val="20"/>
          <w:szCs w:val="20"/>
          <w:shd w:val="clear" w:color="auto" w:fill="auto"/>
        </w:rPr>
      </w:pPr>
    </w:p>
    <w:p>
      <w:pPr>
        <w:spacing w:after="0" w:line="340" w:lineRule="exact"/>
        <w:ind w:right="120" w:firstLine="480"/>
        <w:rPr>
          <w:color w:val="auto"/>
          <w:sz w:val="20"/>
          <w:szCs w:val="20"/>
          <w:shd w:val="clear" w:color="auto" w:fill="auto"/>
        </w:rPr>
      </w:pPr>
      <w:r>
        <w:rPr>
          <w:rFonts w:ascii="宋体" w:hAnsi="宋体" w:eastAsia="宋体" w:cs="宋体"/>
          <w:color w:val="auto"/>
          <w:sz w:val="24"/>
          <w:szCs w:val="24"/>
          <w:shd w:val="clear" w:color="auto" w:fill="auto"/>
        </w:rPr>
        <w:t>在运行机制方面，确定了各行政职能部门、教学科研单位、直附属单位等应履行的职责，保证学校各项决策的贯彻执行。</w:t>
      </w:r>
    </w:p>
    <w:p>
      <w:pPr>
        <w:spacing w:after="0" w:line="200" w:lineRule="exact"/>
        <w:rPr>
          <w:color w:val="auto"/>
          <w:sz w:val="20"/>
          <w:szCs w:val="20"/>
          <w:shd w:val="clear" w:color="auto" w:fill="auto"/>
        </w:rPr>
      </w:pPr>
    </w:p>
    <w:p>
      <w:pPr>
        <w:spacing w:after="0" w:line="340" w:lineRule="exact"/>
        <w:ind w:right="120" w:firstLine="480"/>
        <w:rPr>
          <w:color w:val="auto"/>
          <w:sz w:val="20"/>
          <w:szCs w:val="20"/>
          <w:shd w:val="clear" w:color="auto" w:fill="auto"/>
        </w:rPr>
      </w:pPr>
      <w:r>
        <w:rPr>
          <w:rFonts w:ascii="宋体" w:hAnsi="宋体" w:eastAsia="宋体" w:cs="宋体"/>
          <w:color w:val="auto"/>
          <w:sz w:val="24"/>
          <w:szCs w:val="24"/>
          <w:shd w:val="clear" w:color="auto" w:fill="auto"/>
        </w:rPr>
        <w:t>在学术管理机制方面，规定了校（系）两级学术委员会、教学工作委员会、学位评定委员会等学术组织的权力及相应职能。</w:t>
      </w:r>
    </w:p>
    <w:p>
      <w:pPr>
        <w:spacing w:after="0" w:line="201" w:lineRule="exact"/>
        <w:rPr>
          <w:color w:val="auto"/>
          <w:sz w:val="20"/>
          <w:szCs w:val="20"/>
          <w:shd w:val="clear" w:color="auto" w:fill="auto"/>
        </w:rPr>
      </w:pPr>
    </w:p>
    <w:p>
      <w:pPr>
        <w:spacing w:after="0" w:line="339" w:lineRule="exact"/>
        <w:ind w:right="60" w:firstLine="480"/>
        <w:rPr>
          <w:color w:val="auto"/>
          <w:sz w:val="20"/>
          <w:szCs w:val="20"/>
          <w:shd w:val="clear" w:color="auto" w:fill="auto"/>
        </w:rPr>
      </w:pPr>
      <w:r>
        <w:rPr>
          <w:rFonts w:ascii="宋体" w:hAnsi="宋体" w:eastAsia="宋体" w:cs="宋体"/>
          <w:color w:val="auto"/>
          <w:sz w:val="24"/>
          <w:szCs w:val="24"/>
          <w:shd w:val="clear" w:color="auto" w:fill="auto"/>
        </w:rPr>
        <w:t>在民主参与机制方面，规定了教职工、学生参与学校民主管理的机构及相关职权，包括教职工代表大会、学生代表大会等。</w:t>
      </w:r>
    </w:p>
    <w:p>
      <w:pPr>
        <w:spacing w:after="0" w:line="202" w:lineRule="exact"/>
        <w:rPr>
          <w:color w:val="auto"/>
          <w:sz w:val="20"/>
          <w:szCs w:val="20"/>
          <w:shd w:val="clear" w:color="auto" w:fill="auto"/>
        </w:rPr>
      </w:pPr>
    </w:p>
    <w:p>
      <w:pPr>
        <w:spacing w:after="0" w:line="373" w:lineRule="exact"/>
        <w:ind w:right="120" w:firstLine="482"/>
        <w:jc w:val="both"/>
        <w:rPr>
          <w:color w:val="auto"/>
          <w:sz w:val="20"/>
          <w:szCs w:val="20"/>
          <w:shd w:val="clear" w:color="auto" w:fill="auto"/>
        </w:rPr>
      </w:pPr>
      <w:r>
        <w:rPr>
          <w:rFonts w:ascii="楷体" w:hAnsi="楷体" w:eastAsia="楷体" w:cs="楷体"/>
          <w:b/>
          <w:bCs/>
          <w:color w:val="auto"/>
          <w:sz w:val="24"/>
          <w:szCs w:val="24"/>
          <w:shd w:val="clear" w:color="auto" w:fill="auto"/>
        </w:rPr>
        <w:t>四是充分预留了发展空间。</w:t>
      </w:r>
      <w:r>
        <w:rPr>
          <w:rFonts w:ascii="宋体" w:hAnsi="宋体" w:eastAsia="宋体" w:cs="宋体"/>
          <w:color w:val="auto"/>
          <w:sz w:val="24"/>
          <w:szCs w:val="24"/>
          <w:shd w:val="clear" w:color="auto" w:fill="auto"/>
        </w:rPr>
        <w:t>针对未来发展趋势，适当保持章程内容的必要弹性，只对涉及学校存在、运行、发展的重大问题做出原则性的概括，不对具体管理过程、运作细节进行详尽规定，为章程的配套制度体系预留出不断完善的空间。</w:t>
      </w:r>
    </w:p>
    <w:p>
      <w:pPr>
        <w:spacing w:after="0" w:line="16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《章程（送审稿）》在制度创新方面主要体现在下列两个方面：</w:t>
      </w:r>
    </w:p>
    <w:p>
      <w:pPr>
        <w:spacing w:after="0" w:line="199" w:lineRule="exact"/>
        <w:rPr>
          <w:color w:val="auto"/>
          <w:sz w:val="20"/>
          <w:szCs w:val="20"/>
          <w:shd w:val="clear" w:color="auto" w:fill="auto"/>
        </w:rPr>
      </w:pPr>
    </w:p>
    <w:p>
      <w:pPr>
        <w:spacing w:after="0" w:line="251" w:lineRule="exact"/>
        <w:ind w:left="480"/>
        <w:rPr>
          <w:color w:val="auto"/>
          <w:sz w:val="20"/>
          <w:szCs w:val="20"/>
          <w:shd w:val="clear" w:color="auto" w:fill="auto"/>
        </w:rPr>
      </w:pPr>
      <w:r>
        <w:rPr>
          <w:rFonts w:ascii="楷体" w:hAnsi="楷体" w:eastAsia="楷体" w:cs="楷体"/>
          <w:b/>
          <w:bCs/>
          <w:color w:val="auto"/>
          <w:sz w:val="22"/>
          <w:szCs w:val="22"/>
          <w:shd w:val="clear" w:color="auto" w:fill="auto"/>
        </w:rPr>
        <w:t>一是理清校内各权力主体关系。</w:t>
      </w:r>
      <w:r>
        <w:rPr>
          <w:rFonts w:ascii="宋体" w:hAnsi="宋体" w:eastAsia="宋体" w:cs="宋体"/>
          <w:color w:val="auto"/>
          <w:sz w:val="22"/>
          <w:szCs w:val="22"/>
          <w:shd w:val="clear" w:color="auto" w:fill="auto"/>
        </w:rPr>
        <w:t>《章程（送审稿）》对学校内部关系进行了制度界定，</w:t>
      </w:r>
    </w:p>
    <w:p>
      <w:pPr>
        <w:spacing w:after="0" w:line="200" w:lineRule="exact"/>
        <w:rPr>
          <w:color w:val="auto"/>
          <w:sz w:val="20"/>
          <w:szCs w:val="20"/>
          <w:shd w:val="clear" w:color="auto" w:fill="auto"/>
        </w:rPr>
      </w:pPr>
    </w:p>
    <w:p>
      <w:pPr>
        <w:spacing w:after="0" w:line="267"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5" w:name="page5"/>
      <w:bookmarkEnd w:id="5"/>
    </w:p>
    <w:p>
      <w:pPr>
        <w:spacing w:after="0" w:line="418" w:lineRule="exact"/>
        <w:ind w:right="120"/>
        <w:jc w:val="both"/>
        <w:rPr>
          <w:color w:val="auto"/>
          <w:sz w:val="20"/>
          <w:szCs w:val="20"/>
          <w:shd w:val="clear" w:color="auto" w:fill="auto"/>
        </w:rPr>
      </w:pPr>
      <w:r>
        <w:rPr>
          <w:rFonts w:ascii="宋体" w:hAnsi="宋体" w:eastAsia="宋体" w:cs="宋体"/>
          <w:color w:val="auto"/>
          <w:sz w:val="24"/>
          <w:szCs w:val="24"/>
          <w:shd w:val="clear" w:color="auto" w:fill="auto"/>
        </w:rPr>
        <w:t>进一步厘清党委与行政、学术权力与行政权力、学校与系部、学校与教职工、学生等关系，明确各利益相关者的职权、职责。学校坚持党委领导下的校长负责制，明晰党委和行政之间职责、职权边界，分别规定党委的领导职责和校长的具体职权。为进一步强化学术权力，确定和保障学术权力在学术事务中的主导地位，章程规定了学术委员会的构成和职责，以及在系部成立学术权力机构，建立校内学术权力体系。结合学校正在推进的两级管理改革，实施管理重心下移，本着事权相宜和权责一致的原则，在人、财、物等方面规范有序地赋予系部相应的管理权力，逐步扩大系部自主权，充分发挥系部主体作用。《章程（送审稿）》突出了教职工和学生的权利保障，详细规定了我校教职工、学生享有的权利，使他们享有的法定权利更加具体明确。</w:t>
      </w:r>
    </w:p>
    <w:p>
      <w:pPr>
        <w:spacing w:after="0" w:line="203" w:lineRule="exact"/>
        <w:rPr>
          <w:color w:val="auto"/>
          <w:sz w:val="20"/>
          <w:szCs w:val="20"/>
          <w:shd w:val="clear" w:color="auto" w:fill="auto"/>
        </w:rPr>
      </w:pPr>
    </w:p>
    <w:p>
      <w:pPr>
        <w:spacing w:after="0" w:line="407" w:lineRule="exact"/>
        <w:ind w:right="120" w:firstLine="482"/>
        <w:jc w:val="both"/>
        <w:rPr>
          <w:color w:val="auto"/>
          <w:sz w:val="20"/>
          <w:szCs w:val="20"/>
          <w:shd w:val="clear" w:color="auto" w:fill="auto"/>
        </w:rPr>
      </w:pPr>
      <w:r>
        <w:rPr>
          <w:rFonts w:ascii="楷体" w:hAnsi="楷体" w:eastAsia="楷体" w:cs="楷体"/>
          <w:b/>
          <w:bCs/>
          <w:color w:val="auto"/>
          <w:sz w:val="24"/>
          <w:szCs w:val="24"/>
          <w:shd w:val="clear" w:color="auto" w:fill="auto"/>
        </w:rPr>
        <w:t>二是强化了学校与社会的关系。</w:t>
      </w:r>
      <w:r>
        <w:rPr>
          <w:rFonts w:ascii="宋体" w:hAnsi="宋体" w:eastAsia="宋体" w:cs="宋体"/>
          <w:color w:val="auto"/>
          <w:sz w:val="24"/>
          <w:szCs w:val="24"/>
          <w:shd w:val="clear" w:color="auto" w:fill="auto"/>
        </w:rPr>
        <w:t>“学校与社会”一章，阐述了学校与政府、社会的关系，学校利用办学资源和办学优势主动对接防灾减灾行业和经济社会发展需求，加强与政府部门、行业企业、社会团体、国际组织的交流合作，大力推动协同创新发展。首次明确提出了建立理事会、校友会和教育发展基金会的基本程序和原则，使学校在履行社会责任的同时，加强与社会联系，促进社会参与办学，健全民主决策机制，积极吸引社会资金和社会捐赠，拓宽筹措办学资源途径。</w:t>
      </w:r>
    </w:p>
    <w:p>
      <w:pPr>
        <w:spacing w:after="0" w:line="172"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三、意义和作用</w:t>
      </w:r>
    </w:p>
    <w:p>
      <w:pPr>
        <w:spacing w:after="0" w:line="197" w:lineRule="exact"/>
        <w:rPr>
          <w:color w:val="auto"/>
          <w:sz w:val="20"/>
          <w:szCs w:val="20"/>
          <w:shd w:val="clear" w:color="auto" w:fill="auto"/>
        </w:rPr>
      </w:pPr>
    </w:p>
    <w:p>
      <w:pPr>
        <w:spacing w:after="0" w:line="373" w:lineRule="exact"/>
        <w:ind w:right="120" w:firstLine="482"/>
        <w:jc w:val="both"/>
        <w:rPr>
          <w:color w:val="auto"/>
          <w:sz w:val="20"/>
          <w:szCs w:val="20"/>
          <w:shd w:val="clear" w:color="auto" w:fill="auto"/>
        </w:rPr>
      </w:pPr>
      <w:r>
        <w:rPr>
          <w:rFonts w:ascii="楷体" w:hAnsi="楷体" w:eastAsia="楷体" w:cs="楷体"/>
          <w:b/>
          <w:bCs/>
          <w:color w:val="auto"/>
          <w:sz w:val="24"/>
          <w:szCs w:val="24"/>
          <w:shd w:val="clear" w:color="auto" w:fill="auto"/>
        </w:rPr>
        <w:t>——《章程》凝聚办学共识。</w:t>
      </w:r>
      <w:r>
        <w:rPr>
          <w:rFonts w:ascii="宋体" w:hAnsi="宋体" w:eastAsia="宋体" w:cs="宋体"/>
          <w:color w:val="auto"/>
          <w:sz w:val="24"/>
          <w:szCs w:val="24"/>
          <w:shd w:val="clear" w:color="auto" w:fill="auto"/>
        </w:rPr>
        <w:t>《章程》的制定过程，就是学校广开言路，集思广益的过程，是全体教职员工、学生和校友、社会各界友好人士积极建言献策、群策群力的过程。在“问计于民、问需于民”的过程中，明确了学院在新时期的新使命。</w:t>
      </w:r>
    </w:p>
    <w:p>
      <w:pPr>
        <w:spacing w:after="0" w:line="201" w:lineRule="exact"/>
        <w:rPr>
          <w:color w:val="auto"/>
          <w:sz w:val="20"/>
          <w:szCs w:val="20"/>
          <w:shd w:val="clear" w:color="auto" w:fill="auto"/>
        </w:rPr>
      </w:pPr>
    </w:p>
    <w:p>
      <w:pPr>
        <w:spacing w:after="0" w:line="407" w:lineRule="exact"/>
        <w:ind w:firstLine="482"/>
        <w:rPr>
          <w:color w:val="auto"/>
          <w:sz w:val="20"/>
          <w:szCs w:val="20"/>
          <w:shd w:val="clear" w:color="auto" w:fill="auto"/>
        </w:rPr>
      </w:pPr>
      <w:r>
        <w:rPr>
          <w:rFonts w:ascii="楷体" w:hAnsi="楷体" w:eastAsia="楷体" w:cs="楷体"/>
          <w:b/>
          <w:bCs/>
          <w:color w:val="auto"/>
          <w:sz w:val="24"/>
          <w:szCs w:val="24"/>
          <w:shd w:val="clear" w:color="auto" w:fill="auto"/>
        </w:rPr>
        <w:t>——《章程》驱动教育改革。</w:t>
      </w:r>
      <w:r>
        <w:rPr>
          <w:rFonts w:ascii="宋体" w:hAnsi="宋体" w:eastAsia="宋体" w:cs="宋体"/>
          <w:color w:val="auto"/>
          <w:sz w:val="24"/>
          <w:szCs w:val="24"/>
          <w:shd w:val="clear" w:color="auto" w:fill="auto"/>
        </w:rPr>
        <w:t>《章程》的颁布是学校改革的又一次重大契机和起点。在对外关系上，《章程》明确学校“依法享有办学自主权，独立承担法律责任，不受任何组织和个人的非法干涉”。同时，“学校积极开展与政府部门、国际组织、科研院所、企事业单位、社会团体等组织、机构的合作，推动协同创新”。在内部治理上，《章程》通过对各类机构职责权限、人员组成和议事规划的详细规定，通过对教职员工和学生两大办学主体权利义务等规定，明确学校的内部内部治理结构及其运行机制。</w:t>
      </w:r>
    </w:p>
    <w:p>
      <w:pPr>
        <w:spacing w:after="0" w:line="204" w:lineRule="exact"/>
        <w:rPr>
          <w:color w:val="auto"/>
          <w:sz w:val="20"/>
          <w:szCs w:val="20"/>
          <w:shd w:val="clear" w:color="auto" w:fill="auto"/>
        </w:rPr>
      </w:pPr>
    </w:p>
    <w:p>
      <w:pPr>
        <w:spacing w:after="0" w:line="400" w:lineRule="exact"/>
        <w:ind w:right="100" w:firstLine="482"/>
        <w:jc w:val="both"/>
        <w:rPr>
          <w:color w:val="auto"/>
          <w:sz w:val="20"/>
          <w:szCs w:val="20"/>
          <w:shd w:val="clear" w:color="auto" w:fill="auto"/>
        </w:rPr>
      </w:pPr>
      <w:r>
        <w:rPr>
          <w:rFonts w:ascii="楷体" w:hAnsi="楷体" w:eastAsia="楷体" w:cs="楷体"/>
          <w:b/>
          <w:bCs/>
          <w:color w:val="auto"/>
          <w:sz w:val="24"/>
          <w:szCs w:val="24"/>
          <w:shd w:val="clear" w:color="auto" w:fill="auto"/>
        </w:rPr>
        <w:t>——《章程》规范办学活动。</w:t>
      </w:r>
      <w:r>
        <w:rPr>
          <w:rFonts w:ascii="宋体" w:hAnsi="宋体" w:eastAsia="宋体" w:cs="宋体"/>
          <w:color w:val="auto"/>
          <w:sz w:val="24"/>
          <w:szCs w:val="24"/>
          <w:shd w:val="clear" w:color="auto" w:fill="auto"/>
        </w:rPr>
        <w:t>章程对学校财务、资产、招生、教学、科研、社会服务等各个环节运行方式和制度进行了总体规范，确保学校运行有序，同时还积极引入外部评价机制，规范学校办学活动。《章程》明确提出主动接受社会监督和评价，主动实行信息公开制度，及时向社会发布办学信息。学校采用多样性评价机制，从而确保学校办学质量和人才培养质量。</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2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w:t>
      </w:r>
    </w:p>
    <w:p>
      <w:pPr>
        <w:rPr>
          <w:shd w:val="clear" w:color="auto" w:fill="auto"/>
        </w:rPr>
        <w:sectPr>
          <w:pgSz w:w="11900" w:h="16840"/>
          <w:pgMar w:top="1440" w:right="1304" w:bottom="587" w:left="1420" w:header="0" w:footer="0" w:gutter="0"/>
          <w:cols w:equalWidth="0" w:num="1">
            <w:col w:w="9180"/>
          </w:cols>
        </w:sectPr>
      </w:pPr>
    </w:p>
    <w:p>
      <w:pPr>
        <w:spacing w:after="0" w:line="200" w:lineRule="exact"/>
        <w:rPr>
          <w:color w:val="auto"/>
          <w:sz w:val="20"/>
          <w:szCs w:val="20"/>
          <w:shd w:val="clear" w:color="auto" w:fill="auto"/>
        </w:rPr>
      </w:pPr>
      <w:bookmarkStart w:id="6" w:name="page6"/>
      <w:bookmarkEnd w:id="6"/>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1894205</wp:posOffset>
                </wp:positionH>
                <wp:positionV relativeFrom="page">
                  <wp:posOffset>1353185</wp:posOffset>
                </wp:positionV>
                <wp:extent cx="3911600" cy="415925"/>
                <wp:effectExtent l="0" t="0" r="12700" b="3175"/>
                <wp:wrapNone/>
                <wp:docPr id="4" name="Shape 4"/>
                <wp:cNvGraphicFramePr/>
                <a:graphic xmlns:a="http://schemas.openxmlformats.org/drawingml/2006/main">
                  <a:graphicData uri="http://schemas.microsoft.com/office/word/2010/wordprocessingShape">
                    <wps:wsp>
                      <wps:cNvSpPr/>
                      <wps:spPr>
                        <a:xfrm>
                          <a:off x="0" y="0"/>
                          <a:ext cx="3911600" cy="415925"/>
                        </a:xfrm>
                        <a:prstGeom prst="rect">
                          <a:avLst/>
                        </a:prstGeom>
                        <a:solidFill>
                          <a:srgbClr val="E5E5E5"/>
                        </a:solidFill>
                      </wps:spPr>
                      <wps:bodyPr/>
                    </wps:wsp>
                  </a:graphicData>
                </a:graphic>
              </wp:anchor>
            </w:drawing>
          </mc:Choice>
          <mc:Fallback>
            <w:pict>
              <v:rect id="Shape 4" o:spid="_x0000_s1026" o:spt="1" style="position:absolute;left:0pt;margin-left:149.15pt;margin-top:106.55pt;height:32.75pt;width:308pt;mso-position-horizontal-relative:page;mso-position-vertical-relative:page;z-index:-251658240;mso-width-relative:page;mso-height-relative:page;" fillcolor="#E5E5E5" filled="t" stroked="f" coordsize="21600,21600" o:allowincell="f" o:gfxdata="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JPz&#10;kjDaAAAACwEAAA8AAAAAAAAAAQAgAAAAIgAAAGRycy9kb3ducmV2LnhtbFBLAQIUABQAAAAIAIdO&#10;4kD/rdgPdgEAAOwCAAAOAAAAAAAAAAEAIAAAACkBAABkcnMvZTJvRG9jLnhtbFBLBQYAAAAABgAG&#10;AFkBAAARBQ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354" w:lineRule="exact"/>
        <w:rPr>
          <w:color w:val="auto"/>
          <w:sz w:val="20"/>
          <w:szCs w:val="20"/>
          <w:shd w:val="clear" w:color="auto" w:fill="auto"/>
        </w:rPr>
      </w:pPr>
    </w:p>
    <w:p>
      <w:pPr>
        <w:spacing w:after="0" w:line="502" w:lineRule="exact"/>
        <w:ind w:right="-159"/>
        <w:jc w:val="center"/>
        <w:rPr>
          <w:color w:val="auto"/>
          <w:sz w:val="20"/>
          <w:szCs w:val="20"/>
          <w:shd w:val="clear" w:color="auto" w:fill="auto"/>
        </w:rPr>
      </w:pPr>
      <w:r>
        <w:rPr>
          <w:rFonts w:ascii="宋体" w:hAnsi="宋体" w:eastAsia="宋体" w:cs="宋体"/>
          <w:color w:val="auto"/>
          <w:sz w:val="44"/>
          <w:szCs w:val="44"/>
          <w:shd w:val="clear" w:color="auto" w:fill="auto"/>
        </w:rPr>
        <w:t>有关大学章程认识的若干问题</w:t>
      </w:r>
    </w:p>
    <w:p>
      <w:pPr>
        <w:spacing w:after="0" w:line="200" w:lineRule="exact"/>
        <w:rPr>
          <w:color w:val="auto"/>
          <w:sz w:val="20"/>
          <w:szCs w:val="20"/>
          <w:shd w:val="clear" w:color="auto" w:fill="auto"/>
        </w:rPr>
      </w:pPr>
    </w:p>
    <w:p>
      <w:pPr>
        <w:spacing w:after="0" w:line="290" w:lineRule="exact"/>
        <w:rPr>
          <w:color w:val="auto"/>
          <w:sz w:val="20"/>
          <w:szCs w:val="20"/>
          <w:shd w:val="clear" w:color="auto" w:fill="auto"/>
        </w:rPr>
      </w:pPr>
    </w:p>
    <w:p>
      <w:pPr>
        <w:spacing w:after="0" w:line="320" w:lineRule="exact"/>
        <w:ind w:right="60"/>
        <w:jc w:val="center"/>
        <w:rPr>
          <w:color w:val="auto"/>
          <w:sz w:val="20"/>
          <w:szCs w:val="20"/>
          <w:shd w:val="clear" w:color="auto" w:fill="auto"/>
        </w:rPr>
      </w:pPr>
      <w:r>
        <w:rPr>
          <w:rFonts w:ascii="新宋体" w:hAnsi="新宋体" w:eastAsia="新宋体" w:cs="新宋体"/>
          <w:b/>
          <w:bCs/>
          <w:color w:val="auto"/>
          <w:sz w:val="28"/>
          <w:szCs w:val="28"/>
          <w:shd w:val="clear" w:color="auto" w:fill="auto"/>
        </w:rPr>
        <w:t>秦惠民</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85" w:lineRule="exact"/>
        <w:rPr>
          <w:color w:val="auto"/>
          <w:sz w:val="20"/>
          <w:szCs w:val="20"/>
          <w:shd w:val="clear" w:color="auto" w:fill="auto"/>
        </w:rPr>
      </w:pPr>
    </w:p>
    <w:p>
      <w:pPr>
        <w:spacing w:after="0" w:line="377" w:lineRule="exact"/>
        <w:ind w:left="420" w:right="460" w:firstLine="482"/>
        <w:jc w:val="both"/>
        <w:rPr>
          <w:color w:val="auto"/>
          <w:sz w:val="20"/>
          <w:szCs w:val="20"/>
          <w:shd w:val="clear" w:color="auto" w:fill="auto"/>
        </w:rPr>
      </w:pPr>
      <w:r>
        <w:rPr>
          <w:rFonts w:ascii="黑体" w:hAnsi="黑体" w:eastAsia="黑体" w:cs="黑体"/>
          <w:b/>
          <w:bCs/>
          <w:color w:val="auto"/>
          <w:sz w:val="24"/>
          <w:szCs w:val="24"/>
          <w:shd w:val="clear" w:color="auto" w:fill="auto"/>
        </w:rPr>
        <w:t xml:space="preserve">摘 要： </w:t>
      </w:r>
      <w:r>
        <w:rPr>
          <w:rFonts w:ascii="新宋体" w:hAnsi="新宋体" w:eastAsia="新宋体" w:cs="新宋体"/>
          <w:color w:val="auto"/>
          <w:sz w:val="24"/>
          <w:szCs w:val="24"/>
          <w:shd w:val="clear" w:color="auto" w:fill="auto"/>
        </w:rPr>
        <w:t>中国特色的现代大学制度对于大学章程的呼唤，是走向大学治理和法治的重要一环。制定与核准章程，是实现协商民主、充分体现法治原则的重要实践。法律所规定的高等学校办学自主权，有待通过章程建设的</w:t>
      </w:r>
      <w:r>
        <w:rPr>
          <w:rFonts w:ascii="Times New Roman" w:hAnsi="Times New Roman" w:eastAsia="Times New Roman" w:cs="Times New Roman"/>
          <w:color w:val="auto"/>
          <w:sz w:val="24"/>
          <w:szCs w:val="24"/>
          <w:shd w:val="clear" w:color="auto" w:fill="auto"/>
        </w:rPr>
        <w:t xml:space="preserve"> “</w:t>
      </w:r>
      <w:r>
        <w:rPr>
          <w:rFonts w:ascii="新宋体" w:hAnsi="新宋体" w:eastAsia="新宋体" w:cs="新宋体"/>
          <w:color w:val="auto"/>
          <w:sz w:val="24"/>
          <w:szCs w:val="24"/>
          <w:shd w:val="clear" w:color="auto" w:fill="auto"/>
        </w:rPr>
        <w:t>立法</w:t>
      </w:r>
      <w:r>
        <w:rPr>
          <w:rFonts w:ascii="Times New Roman" w:hAnsi="Times New Roman" w:eastAsia="Times New Roman" w:cs="Times New Roman"/>
          <w:color w:val="auto"/>
          <w:sz w:val="24"/>
          <w:szCs w:val="24"/>
          <w:shd w:val="clear" w:color="auto" w:fill="auto"/>
        </w:rPr>
        <w:t xml:space="preserve">” </w:t>
      </w:r>
      <w:r>
        <w:rPr>
          <w:rFonts w:ascii="新宋体" w:hAnsi="新宋体" w:eastAsia="新宋体" w:cs="新宋体"/>
          <w:color w:val="auto"/>
          <w:sz w:val="24"/>
          <w:szCs w:val="24"/>
          <w:shd w:val="clear" w:color="auto" w:fill="auto"/>
        </w:rPr>
        <w:t>过程来具体落实。完善大学法人治理结构，提高自主办学行为的合法性应是章程建设核心性的重要任务。大学的自主权不等于大学校长的自主权，为避免</w:t>
      </w:r>
      <w:r>
        <w:rPr>
          <w:rFonts w:ascii="Times New Roman" w:hAnsi="Times New Roman" w:eastAsia="Times New Roman" w:cs="Times New Roman"/>
          <w:color w:val="auto"/>
          <w:sz w:val="24"/>
          <w:szCs w:val="24"/>
          <w:shd w:val="clear" w:color="auto" w:fill="auto"/>
        </w:rPr>
        <w:t xml:space="preserve"> “</w:t>
      </w:r>
      <w:r>
        <w:rPr>
          <w:rFonts w:ascii="新宋体" w:hAnsi="新宋体" w:eastAsia="新宋体" w:cs="新宋体"/>
          <w:color w:val="auto"/>
          <w:sz w:val="24"/>
          <w:szCs w:val="24"/>
          <w:shd w:val="clear" w:color="auto" w:fill="auto"/>
        </w:rPr>
        <w:t>没有灵魂的卓越</w:t>
      </w:r>
      <w:r>
        <w:rPr>
          <w:rFonts w:ascii="Times New Roman" w:hAnsi="Times New Roman" w:eastAsia="Times New Roman" w:cs="Times New Roman"/>
          <w:color w:val="auto"/>
          <w:sz w:val="24"/>
          <w:szCs w:val="24"/>
          <w:shd w:val="clear" w:color="auto" w:fill="auto"/>
        </w:rPr>
        <w:t>”</w:t>
      </w:r>
      <w:r>
        <w:rPr>
          <w:rFonts w:ascii="新宋体" w:hAnsi="新宋体" w:eastAsia="新宋体" w:cs="新宋体"/>
          <w:color w:val="auto"/>
          <w:sz w:val="24"/>
          <w:szCs w:val="24"/>
          <w:shd w:val="clear" w:color="auto" w:fill="auto"/>
        </w:rPr>
        <w:t>，坚持大学的公共性，是大学作为一种学者共同体的重要文化自觉。</w:t>
      </w:r>
    </w:p>
    <w:p>
      <w:pPr>
        <w:spacing w:after="0" w:line="135" w:lineRule="exact"/>
        <w:rPr>
          <w:color w:val="auto"/>
          <w:sz w:val="20"/>
          <w:szCs w:val="20"/>
          <w:shd w:val="clear" w:color="auto" w:fill="auto"/>
        </w:rPr>
      </w:pPr>
    </w:p>
    <w:p>
      <w:pPr>
        <w:spacing w:after="0" w:line="274" w:lineRule="exact"/>
        <w:ind w:left="900"/>
        <w:rPr>
          <w:color w:val="auto"/>
          <w:sz w:val="20"/>
          <w:szCs w:val="20"/>
          <w:shd w:val="clear" w:color="auto" w:fill="auto"/>
        </w:rPr>
      </w:pPr>
      <w:r>
        <w:rPr>
          <w:rFonts w:ascii="黑体" w:hAnsi="黑体" w:eastAsia="黑体" w:cs="黑体"/>
          <w:b/>
          <w:bCs/>
          <w:color w:val="auto"/>
          <w:sz w:val="24"/>
          <w:szCs w:val="24"/>
          <w:shd w:val="clear" w:color="auto" w:fill="auto"/>
        </w:rPr>
        <w:t>关键词：</w:t>
      </w:r>
      <w:r>
        <w:rPr>
          <w:rFonts w:ascii="新宋体" w:hAnsi="新宋体" w:eastAsia="新宋体" w:cs="新宋体"/>
          <w:color w:val="auto"/>
          <w:sz w:val="24"/>
          <w:szCs w:val="24"/>
          <w:shd w:val="clear" w:color="auto" w:fill="auto"/>
        </w:rPr>
        <w:t>大学章程；现代大学制度；大学治理；大学的公共性</w:t>
      </w:r>
    </w:p>
    <w:p>
      <w:pPr>
        <w:spacing w:after="0" w:line="200" w:lineRule="exact"/>
        <w:rPr>
          <w:color w:val="auto"/>
          <w:sz w:val="20"/>
          <w:szCs w:val="20"/>
          <w:shd w:val="clear" w:color="auto" w:fill="auto"/>
        </w:rPr>
      </w:pPr>
    </w:p>
    <w:p>
      <w:pPr>
        <w:spacing w:after="0" w:line="389" w:lineRule="exact"/>
        <w:rPr>
          <w:color w:val="auto"/>
          <w:sz w:val="20"/>
          <w:szCs w:val="20"/>
          <w:shd w:val="clear" w:color="auto" w:fill="auto"/>
        </w:rPr>
      </w:pPr>
    </w:p>
    <w:p>
      <w:pPr>
        <w:spacing w:after="0" w:line="418" w:lineRule="exact"/>
        <w:ind w:right="40" w:firstLine="480"/>
        <w:jc w:val="both"/>
        <w:rPr>
          <w:color w:val="auto"/>
          <w:sz w:val="20"/>
          <w:szCs w:val="20"/>
          <w:shd w:val="clear" w:color="auto" w:fill="auto"/>
        </w:rPr>
      </w:pPr>
      <w:r>
        <w:rPr>
          <w:rFonts w:ascii="宋体" w:hAnsi="宋体" w:eastAsia="宋体" w:cs="宋体"/>
          <w:color w:val="auto"/>
          <w:sz w:val="24"/>
          <w:szCs w:val="24"/>
          <w:shd w:val="clear" w:color="auto" w:fill="auto"/>
        </w:rPr>
        <w:t>大学依据法律的规定制定章程，通过制定和实施章程实现依法治校，符合法治思维和法治方式，理应是法治社会的一个基本要求。符合法治要求的大学章程，是社会法治的一部分， 是国家法律、法规的延伸。中国公办大学的章程建设，从十几年前颁布的一项法律规定， 在国家政策和政府主管部门的积极推动下，正在成为当前中国高等学校改革和发展进程中的一项重要立法活动。它反映了中国社会的法治发展，也反映了中国这个日趋走向法治的社会对于大学的认识与实践发展——作为一种重要社会组织的大学，不能独立于法治社会之外。我国宪法在规定 “实行依法治国”的同时，规定“任何组织或者个人都不得有超越宪法和法律的特权”。高等学校作为一种社会组织，其设立与运行都必须符合宪法和法律的规定。</w:t>
      </w:r>
    </w:p>
    <w:p>
      <w:pPr>
        <w:spacing w:after="0" w:line="203" w:lineRule="exact"/>
        <w:rPr>
          <w:color w:val="auto"/>
          <w:sz w:val="20"/>
          <w:szCs w:val="20"/>
          <w:shd w:val="clear" w:color="auto" w:fill="auto"/>
        </w:rPr>
      </w:pPr>
    </w:p>
    <w:p>
      <w:pPr>
        <w:spacing w:after="0" w:line="411"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近几年，随着政府教育行政机关对大学章程的日益重视，有关大学章程的文章和著作虽谈不上汗牛充栋，但确实不少。特别是教育部组织研究讨论并颁布相关规定以来，探讨和研究大学章程的科研成果越来越多。这些成果对古今中外的大学章程进行了研究，还特别结合中国现代大学的发展实际进行实践分析和理论概括。笔者在浏览了一部分这些成果和参与了一定范围的相关实践之后，感觉下列几个有关大学章程认识的问题，对于提高章程建设的质量， 推进高等学校的民主与法治建设，完善中国特色现代大学制度的实践至关重要，有必要进一步讨论和深入思考。</w:t>
      </w:r>
    </w:p>
    <w:p>
      <w:pPr>
        <w:spacing w:after="0" w:line="17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一、大学章程与现代大学制度</w:t>
      </w:r>
    </w:p>
    <w:p>
      <w:pPr>
        <w:spacing w:after="0" w:line="179"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w:t>
      </w:r>
    </w:p>
    <w:p>
      <w:pPr>
        <w:rPr>
          <w:shd w:val="clear" w:color="auto" w:fill="auto"/>
        </w:rPr>
        <w:sectPr>
          <w:pgSz w:w="11900" w:h="16840"/>
          <w:pgMar w:top="1440" w:right="1364" w:bottom="587" w:left="1420" w:header="0" w:footer="0" w:gutter="0"/>
          <w:cols w:equalWidth="0" w:num="1">
            <w:col w:w="9120"/>
          </w:cols>
        </w:sectPr>
      </w:pPr>
    </w:p>
    <w:p>
      <w:pPr>
        <w:spacing w:after="0" w:line="124" w:lineRule="exact"/>
        <w:rPr>
          <w:color w:val="auto"/>
          <w:sz w:val="20"/>
          <w:szCs w:val="20"/>
          <w:shd w:val="clear" w:color="auto" w:fill="auto"/>
        </w:rPr>
      </w:pPr>
      <w:bookmarkStart w:id="7" w:name="page7"/>
      <w:bookmarkEnd w:id="7"/>
    </w:p>
    <w:p>
      <w:pPr>
        <w:spacing w:after="0" w:line="389"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很多文章和著作都不加论证地写道，制定大学章程是建立现代大学制度的需要。笔者以为，这个说法中有几个问题应该讨论：一是“现代大学制度”的含义是什么？二是章程是现代大学的产物吗？三是为什么不宜简单地从形式上把章程与现代大学制度相联系？</w:t>
      </w:r>
    </w:p>
    <w:p>
      <w:pPr>
        <w:spacing w:after="0" w:line="203" w:lineRule="exact"/>
        <w:rPr>
          <w:color w:val="auto"/>
          <w:sz w:val="20"/>
          <w:szCs w:val="20"/>
          <w:shd w:val="clear" w:color="auto" w:fill="auto"/>
        </w:rPr>
      </w:pPr>
    </w:p>
    <w:p>
      <w:pPr>
        <w:spacing w:after="0" w:line="425"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关于什么是现代大学制度的问题，在现实的中国是一个非常重要的问题。它的重要性其实并不来自于这个概念本身。由于“现代大学制度 这个概念反复被党和国家的各种重要的政策文件所提及，现已成为政府文件和学者文章中的一个常用概念，不搞清楚这个概念的含义， 势必导致认识上的偏差和实践中的混乱。学者对于“现代大学制度”的含义，从不同的角度有各种各样的解释。但从世界范围来看，实际上并不存在一个抽象的、放之四海而皆准的、 具有普遍意义的“现代大学制度”。现代世界各国的大学，可以说各有各的制度。这些以世界各国的经济、政治、社会文化状况和历史发展为背景的大学制度和规则体系，是世界各国大学得以存续和发展的形式载体。各国大学制度在框架结构上虽大同小异，但在制度内容和具体规则上差异和特色明显。它们共同构成了当今世界丰富多彩的多样性的“现代大学制度”。笔者认为，“现代大学制度” 就是对一定历史阶段中大学制度存在和发展状况的一种概括和描述，同时， 这个概念反映了以各国大学制度为基础的、结合各自的问题和经验， 对当今世界大学制度存在与发展问题的一种自觉的比较和对话。</w:t>
      </w:r>
    </w:p>
    <w:p>
      <w:pPr>
        <w:spacing w:after="0" w:line="204" w:lineRule="exact"/>
        <w:rPr>
          <w:color w:val="auto"/>
          <w:sz w:val="20"/>
          <w:szCs w:val="20"/>
          <w:shd w:val="clear" w:color="auto" w:fill="auto"/>
        </w:rPr>
      </w:pPr>
    </w:p>
    <w:p>
      <w:pPr>
        <w:spacing w:after="0" w:line="424" w:lineRule="exact"/>
        <w:ind w:firstLine="480"/>
        <w:rPr>
          <w:color w:val="auto"/>
          <w:sz w:val="20"/>
          <w:szCs w:val="20"/>
          <w:shd w:val="clear" w:color="auto" w:fill="auto"/>
        </w:rPr>
      </w:pPr>
      <w:r>
        <w:rPr>
          <w:rFonts w:ascii="宋体" w:hAnsi="宋体" w:eastAsia="宋体" w:cs="宋体"/>
          <w:color w:val="auto"/>
          <w:sz w:val="24"/>
          <w:szCs w:val="24"/>
          <w:shd w:val="clear" w:color="auto" w:fill="auto"/>
        </w:rPr>
        <w:t>中共中央、国务院颁布的《教育规划纲要》第三部分“体制改革”中提出了“建设现代学校制度”的任务其主要内容为“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 取消实际存在的行政级别和行政化管理模式。“落实和扩大学校办学自主权”。其中，明确提出要“完善中国特色现代大学制度”。也就是说，中国特色的现代大学制度是一种客观存在，但它仍然是一种不完善的制度形式，需要不断地改革、发展和完善，这是作为改革与发展的任务提出来的，是体制改革的重要内容。</w:t>
      </w:r>
    </w:p>
    <w:p>
      <w:pPr>
        <w:spacing w:after="0" w:line="202" w:lineRule="exact"/>
        <w:rPr>
          <w:color w:val="auto"/>
          <w:sz w:val="20"/>
          <w:szCs w:val="20"/>
          <w:shd w:val="clear" w:color="auto" w:fill="auto"/>
        </w:rPr>
      </w:pPr>
    </w:p>
    <w:p>
      <w:pPr>
        <w:spacing w:after="0" w:line="340" w:lineRule="exact"/>
        <w:ind w:right="120" w:firstLine="360"/>
        <w:rPr>
          <w:color w:val="auto"/>
          <w:sz w:val="20"/>
          <w:szCs w:val="20"/>
          <w:shd w:val="clear" w:color="auto" w:fill="auto"/>
        </w:rPr>
      </w:pPr>
      <w:r>
        <w:rPr>
          <w:rFonts w:ascii="宋体" w:hAnsi="宋体" w:eastAsia="宋体" w:cs="宋体"/>
          <w:color w:val="auto"/>
          <w:sz w:val="23"/>
          <w:szCs w:val="23"/>
          <w:shd w:val="clear" w:color="auto" w:fill="auto"/>
        </w:rPr>
        <w:t>《教育规划纲要》关于“完善中国特色现代大学制度”的提法，在肯定“中国特色现代大学制度”的同时，明确提出了对其进行“完善”的任务。中国特色的现代大学制</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5</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8" w:name="page8"/>
      <w:bookmarkEnd w:id="8"/>
    </w:p>
    <w:p>
      <w:pPr>
        <w:spacing w:after="0" w:line="411" w:lineRule="exact"/>
        <w:ind w:right="100"/>
        <w:jc w:val="both"/>
        <w:rPr>
          <w:color w:val="auto"/>
          <w:sz w:val="20"/>
          <w:szCs w:val="20"/>
          <w:shd w:val="clear" w:color="auto" w:fill="auto"/>
        </w:rPr>
      </w:pPr>
      <w:r>
        <w:rPr>
          <w:rFonts w:ascii="宋体" w:hAnsi="宋体" w:eastAsia="宋体" w:cs="宋体"/>
          <w:color w:val="auto"/>
          <w:sz w:val="24"/>
          <w:szCs w:val="24"/>
          <w:shd w:val="clear" w:color="auto" w:fill="auto"/>
        </w:rPr>
        <w:t>度是在中国特殊历史背景和国情条件下逐步形成和发展起来的，在中国经济与社会的发展和改革的大背景下加以完善，是中国特色现代大学制度适应中国社会的经济与政治发展，适应大学建设和发展需要的时代要求。同时，强调“中国特色”并不意味着故步自封、自我欣赏和自说自话， 以全球的视角和世界的经验来审视中国大学制度的问题和经验，广泛深入地比较和探讨各国大学制度的“长短” 及其适应性，是“现代大学制度”语境中不可缺少的对话维度。也就是说，讨论 “现代大学制度”，不能没有世界范围的学术交流、思想碰撞和理论对话。</w:t>
      </w:r>
    </w:p>
    <w:p>
      <w:pPr>
        <w:spacing w:after="0" w:line="205" w:lineRule="exact"/>
        <w:rPr>
          <w:color w:val="auto"/>
          <w:sz w:val="20"/>
          <w:szCs w:val="20"/>
          <w:shd w:val="clear" w:color="auto" w:fill="auto"/>
        </w:rPr>
      </w:pPr>
    </w:p>
    <w:p>
      <w:pPr>
        <w:spacing w:after="0" w:line="424" w:lineRule="exact"/>
        <w:ind w:firstLine="480"/>
        <w:rPr>
          <w:color w:val="auto"/>
          <w:sz w:val="20"/>
          <w:szCs w:val="20"/>
          <w:shd w:val="clear" w:color="auto" w:fill="auto"/>
        </w:rPr>
      </w:pPr>
      <w:r>
        <w:rPr>
          <w:rFonts w:ascii="宋体" w:hAnsi="宋体" w:eastAsia="宋体" w:cs="宋体"/>
          <w:color w:val="auto"/>
          <w:sz w:val="24"/>
          <w:szCs w:val="24"/>
          <w:shd w:val="clear" w:color="auto" w:fill="auto"/>
        </w:rPr>
        <w:t>大学章程并不是现代大学才有的，前现代的大学就有章程。欧洲从 13 世纪起就有了大学章程。中国从清末起就有了起草和制定大学章程的活动，例如，1898 年梁启超起草的 《奏拟京师大学堂章程》、1902 年张百熙主持编订的《钦定京师大学堂章程》和 1903 年张之洞主导重订的《奏定京师大学堂章程》等。</w:t>
      </w:r>
      <w:r>
        <w:rPr>
          <w:rFonts w:ascii="宋体" w:hAnsi="宋体" w:eastAsia="宋体" w:cs="宋体"/>
          <w:color w:val="auto"/>
          <w:sz w:val="24"/>
          <w:szCs w:val="24"/>
          <w:shd w:val="clear" w:color="auto" w:fill="auto"/>
          <w:vertAlign w:val="superscript"/>
        </w:rPr>
        <w:t>［1］</w:t>
      </w:r>
      <w:r>
        <w:rPr>
          <w:rFonts w:ascii="宋体" w:hAnsi="宋体" w:eastAsia="宋体" w:cs="宋体"/>
          <w:color w:val="auto"/>
          <w:sz w:val="24"/>
          <w:szCs w:val="24"/>
          <w:shd w:val="clear" w:color="auto" w:fill="auto"/>
        </w:rPr>
        <w:t>因此，从形式上讲，章程并不是现代大学制度的标志。简单地从形式上说“制定大学章程是建立现代大学制度的需要”是不准确的，不仅因为从世界范围来看，章程的形式并不为现代大学所特有，还因为中国目前实际存在的大学制度作为中国特色的一种现代大学制度，章程的实际作用在已有的实践中似乎并不重要。但是， 为了完善中国特色的现代大学制度，“建设依法办学、自主管理、民主监督 社会参与的现代学校制度”，章程是法治环境下的大学制度不可缺少的一个重要环节。因此说，章程建设是完善中国特色现代大学制度的需要。讨论这个问题的意义在于，章程建设重在内容而不在形式， 仅有形式上的章程，不能起到完善中国特色现代大学制度的作用。</w:t>
      </w:r>
    </w:p>
    <w:p>
      <w:pPr>
        <w:spacing w:after="0" w:line="202" w:lineRule="exact"/>
        <w:rPr>
          <w:color w:val="auto"/>
          <w:sz w:val="20"/>
          <w:szCs w:val="20"/>
          <w:shd w:val="clear" w:color="auto" w:fill="auto"/>
        </w:rPr>
      </w:pPr>
    </w:p>
    <w:p>
      <w:pPr>
        <w:spacing w:after="0" w:line="420"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根据《教育规划纲要》的要求，“完善中国特色现代大学制度”的主要内容为：“完善治理结构。公办高等学校要坚持和完善党委领导下的校长负责制。健全议事规则与决策程序，依法落实党委、校长职权。完善大学校长选拔任用办法。充分发挥学术委员会在学科建设、 学术评价、学术发展中的重要作用。探索教授治学的有效途径，充分发挥教授在教学、学术研究和学校管理中的作用。加强教职工代表大会、学生代表大会建设，发挥群众团体的作用。”可见，仅仅有一个章程的形式是不够的，国特色的现代大学制度需要通过章程建设推进大学治理结构的完善。因此，《教育规划纲要》在要求“加强章程建设”的同时明确指出，“各类高校应依法制定章程，依照章程规定管理学校。尊重学术自由，营造宽松的学术环境。全面实行聘任制度和岗位管理制度。确立科学的考核评价和激励机制”。</w:t>
      </w:r>
    </w:p>
    <w:p>
      <w:pPr>
        <w:spacing w:after="0" w:line="203" w:lineRule="exact"/>
        <w:rPr>
          <w:color w:val="auto"/>
          <w:sz w:val="20"/>
          <w:szCs w:val="20"/>
          <w:shd w:val="clear" w:color="auto" w:fill="auto"/>
        </w:rPr>
      </w:pPr>
    </w:p>
    <w:p>
      <w:pPr>
        <w:spacing w:after="0" w:line="340" w:lineRule="exact"/>
        <w:ind w:right="120" w:firstLine="480"/>
        <w:jc w:val="both"/>
        <w:rPr>
          <w:color w:val="auto"/>
          <w:sz w:val="20"/>
          <w:szCs w:val="20"/>
          <w:shd w:val="clear" w:color="auto" w:fill="auto"/>
        </w:rPr>
      </w:pPr>
      <w:r>
        <w:rPr>
          <w:rFonts w:ascii="宋体" w:hAnsi="宋体" w:eastAsia="宋体" w:cs="宋体"/>
          <w:color w:val="auto"/>
          <w:sz w:val="23"/>
          <w:szCs w:val="23"/>
          <w:shd w:val="clear" w:color="auto" w:fill="auto"/>
        </w:rPr>
        <w:t>章程建设就是要对“完善中国特色现代大学制度”的主要内容进行一种制度性的回应。因此，今日中国公立大学的章程建设，不可能是完全没有实践基础的全新内容，其</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6</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9" w:name="page9"/>
      <w:bookmarkEnd w:id="9"/>
    </w:p>
    <w:p>
      <w:pPr>
        <w:spacing w:after="0" w:line="415" w:lineRule="exact"/>
        <w:ind w:right="60"/>
        <w:jc w:val="both"/>
        <w:rPr>
          <w:color w:val="auto"/>
          <w:sz w:val="20"/>
          <w:szCs w:val="20"/>
          <w:shd w:val="clear" w:color="auto" w:fill="auto"/>
        </w:rPr>
      </w:pPr>
      <w:r>
        <w:rPr>
          <w:rFonts w:ascii="宋体" w:hAnsi="宋体" w:eastAsia="宋体" w:cs="宋体"/>
          <w:color w:val="auto"/>
          <w:sz w:val="23"/>
          <w:szCs w:val="23"/>
          <w:shd w:val="clear" w:color="auto" w:fill="auto"/>
        </w:rPr>
        <w:t>主要内容应该是把已有的办学实践中的经验教训，经过协商民主过程和民主决策程序将之理性化、科学化、规范化、系统化所形成的规范体系。由于大学利益相关主体的多元性，章程的制定应是各利益相关方充分博弈的产物。政府作为公办大学的主办者对大学章程的审核，应该是利益相关方之一重要的权利表达。章程作为大学内部制度的顶层设计，作为大学运行和发展的基本依据，应该明确学校运行的基本原则和基本组织程序，应满足大学依法办学、完善法人治理结构、自主管理、自我约束和社会参与的需要。不仅如此，章程也是政府对高等学校整体办学实施管理、进行评价的重要依据，同时还应适应法治社会司法审查的需要，成为司法在裁判学校纠纷时重要的参照性依据。</w:t>
      </w:r>
    </w:p>
    <w:p>
      <w:pPr>
        <w:spacing w:after="0" w:line="174"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二、大学章程与大学的民主和法治</w:t>
      </w:r>
    </w:p>
    <w:p>
      <w:pPr>
        <w:spacing w:after="0" w:line="198" w:lineRule="exact"/>
        <w:rPr>
          <w:color w:val="auto"/>
          <w:sz w:val="20"/>
          <w:szCs w:val="20"/>
          <w:shd w:val="clear" w:color="auto" w:fill="auto"/>
        </w:rPr>
      </w:pPr>
    </w:p>
    <w:p>
      <w:pPr>
        <w:spacing w:after="0" w:line="420"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中国特色的现代大学制度对于大学章程的呼唤，是在中国建设社会主义法治国家的背景下出现的，与社会的法治进步相联系。适应我国法治进程中权利纠纷和权利救济的客观需要， 为公民的权利提供司法保障，是司法裁判权的当然责任。在公民权利的保障制度中，司法保障制度占有核心地位。国家通过司法机关，处理各种侵犯公民权利的案件，为公民的权利提供司法保障。司法审判作为救济权利的权力，在法律适用中既要维护学生的权利，又要维护教师和学校的权利。通过行政诉讼对学校自主管理权力的合法性进行司法审查和救济性控制， 实现对学校管理权力正当行使的最后监控和对权力相对人的最后救济。这是学校管理的法治底线，其中蕴涵着法治社会人权保护的基本价值，它构成个体权利社会保护的基础。正是由于司法审查对高校管理的介</w:t>
      </w:r>
      <w:r>
        <w:rPr>
          <w:rFonts w:ascii="宋体" w:hAnsi="宋体" w:eastAsia="宋体" w:cs="宋体"/>
          <w:color w:val="auto"/>
          <w:sz w:val="21"/>
          <w:szCs w:val="21"/>
          <w:shd w:val="clear" w:color="auto" w:fill="auto"/>
        </w:rPr>
        <w:t>入，</w:t>
      </w:r>
      <w:r>
        <w:rPr>
          <w:rFonts w:ascii="宋体" w:hAnsi="宋体" w:eastAsia="宋体" w:cs="宋体"/>
          <w:color w:val="auto"/>
          <w:sz w:val="24"/>
          <w:szCs w:val="24"/>
          <w:shd w:val="clear" w:color="auto" w:fill="auto"/>
        </w:rPr>
        <w:t>使得无论大学中管理者的主观意愿如何，大学都无法独立于法治社会之外。</w:t>
      </w:r>
    </w:p>
    <w:p>
      <w:pPr>
        <w:spacing w:after="0" w:line="202" w:lineRule="exact"/>
        <w:rPr>
          <w:color w:val="auto"/>
          <w:sz w:val="20"/>
          <w:szCs w:val="20"/>
          <w:shd w:val="clear" w:color="auto" w:fill="auto"/>
        </w:rPr>
      </w:pPr>
    </w:p>
    <w:p>
      <w:pPr>
        <w:spacing w:after="0" w:line="424"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中国的人权发展和受教育权保障的进步推动了大学法治的发展。1999 年被最高人民法院公布为成功判例的田永案，开辟了学生权利司法救济的渠道，使司法的阳光第一次照进了高等学校的殿堂，成为法院创造性地适用法律对大学管理进行司法审查的一个典范。1998 年以来，适应中国的法治深入而日益增多的对高校管理的司法审查以及对于学生受教育权利的司法救济，正是通过这样一个个具体的具有创新性的鲜活的法律适用过程而实现的。法治的要求使得学校管理不能像非法治状态下那么自由和随意，这或许正是学校管理适应法治社会而走向现代化的一个标志或一种反映。司法审查推动高等学校管理逐步进入法治状态，这是高等学校管理适应法治社会而走向现代化的一个发展趋势。从这个意义上可以说，学校管理的法治化趋向标志着学校管理的现代化进程。在一个个具体的司法审查案例中，大学内部符合法治原则的制度体系的不完善以及符合法治精神的程序规则的缺失，成为大学在司法诉讼中屡屡败诉的一个重要原因。大学的败诉，显露出大学的内部管理行为存在着缺少法定依据或者缺少合法的规范可循的状况。在我</w:t>
      </w:r>
    </w:p>
    <w:p>
      <w:pPr>
        <w:spacing w:after="0" w:line="200" w:lineRule="exact"/>
        <w:rPr>
          <w:color w:val="auto"/>
          <w:sz w:val="20"/>
          <w:szCs w:val="20"/>
          <w:shd w:val="clear" w:color="auto" w:fill="auto"/>
        </w:rPr>
      </w:pPr>
    </w:p>
    <w:p>
      <w:pPr>
        <w:spacing w:after="0" w:line="28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7</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10" w:name="page10"/>
      <w:bookmarkEnd w:id="10"/>
    </w:p>
    <w:p>
      <w:pPr>
        <w:spacing w:after="0" w:line="389" w:lineRule="exact"/>
        <w:ind w:right="100"/>
        <w:jc w:val="both"/>
        <w:rPr>
          <w:color w:val="auto"/>
          <w:sz w:val="20"/>
          <w:szCs w:val="20"/>
          <w:shd w:val="clear" w:color="auto" w:fill="auto"/>
        </w:rPr>
      </w:pPr>
      <w:r>
        <w:rPr>
          <w:rFonts w:ascii="宋体" w:hAnsi="宋体" w:eastAsia="宋体" w:cs="宋体"/>
          <w:color w:val="auto"/>
          <w:sz w:val="24"/>
          <w:szCs w:val="24"/>
          <w:shd w:val="clear" w:color="auto" w:fill="auto"/>
        </w:rPr>
        <w:t>国公立高校自认为有理而败诉的一些纠纷案件中，不符合法治要求的学校规定，在司法审查中不能作为依据被法院参照和采信。正是在这样的背景下， 制定符合法治要求的大学章程和制度体系以适应中国法治的发展和现实需要，合乎逻辑地成为大学治理走向法治进程中的重要一环。</w:t>
      </w:r>
    </w:p>
    <w:p>
      <w:pPr>
        <w:spacing w:after="0" w:line="203" w:lineRule="exact"/>
        <w:rPr>
          <w:color w:val="auto"/>
          <w:sz w:val="20"/>
          <w:szCs w:val="20"/>
          <w:shd w:val="clear" w:color="auto" w:fill="auto"/>
        </w:rPr>
      </w:pPr>
    </w:p>
    <w:p>
      <w:pPr>
        <w:spacing w:after="0" w:line="401" w:lineRule="exact"/>
        <w:ind w:right="60" w:firstLine="480"/>
        <w:jc w:val="both"/>
        <w:rPr>
          <w:color w:val="auto"/>
          <w:sz w:val="20"/>
          <w:szCs w:val="20"/>
          <w:shd w:val="clear" w:color="auto" w:fill="auto"/>
        </w:rPr>
      </w:pPr>
      <w:r>
        <w:rPr>
          <w:rFonts w:ascii="宋体" w:hAnsi="宋体" w:eastAsia="宋体" w:cs="宋体"/>
          <w:color w:val="auto"/>
          <w:sz w:val="23"/>
          <w:szCs w:val="23"/>
          <w:shd w:val="clear" w:color="auto" w:fill="auto"/>
        </w:rPr>
        <w:t>通过章程来规范和约束权力是章程建设所要实现的重要价值之一。因此，衡量大学章程是否体现法治原则的一个重要尺度，就是看章程是否能够规范和约束权力，是否能够把权力真正关进制度的笼子里，是否能够实现对权力的优化配置和有效约束。倘若权力的行使者对章程的内容不以为然，章程对权力的行使和制约并不产生实质性的影响，那么，章程制度的实际意义势必大打折扣而流于形式，甚至成为 “无用之物”。</w:t>
      </w:r>
    </w:p>
    <w:p>
      <w:pPr>
        <w:spacing w:after="0" w:line="200" w:lineRule="exact"/>
        <w:rPr>
          <w:color w:val="auto"/>
          <w:sz w:val="20"/>
          <w:szCs w:val="20"/>
          <w:shd w:val="clear" w:color="auto" w:fill="auto"/>
        </w:rPr>
      </w:pPr>
    </w:p>
    <w:p>
      <w:pPr>
        <w:spacing w:after="0" w:line="415"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民主与法治不可分割，民主是法治的一个前提条件。党的十八大报告提出，要“更加注重健全民主制度、丰富民主形式，保证人民依法实行民主选举、民主决策、民主管理、民主监督；更加注重发挥法治在国家治理和社会管理中的重要作用。”制定章程就是一个在高等学校践行民主与法治的过程。民主本质上是一种决策机制，而不仅仅是一种参与形式。以制度化的程序机制保障大学决策过程的民主性而不仅仅是民主参与，即实现大学决策过程的民主化，应该是完善中国特色现代大学制度的核心内涵之一。因此，章程的制定过程成为高等学校中的一次重要的民主实践，应该成为章程建设中的重要内容。</w:t>
      </w:r>
    </w:p>
    <w:p>
      <w:pPr>
        <w:spacing w:after="0" w:line="207" w:lineRule="exact"/>
        <w:rPr>
          <w:color w:val="auto"/>
          <w:sz w:val="20"/>
          <w:szCs w:val="20"/>
          <w:shd w:val="clear" w:color="auto" w:fill="auto"/>
        </w:rPr>
      </w:pPr>
    </w:p>
    <w:p>
      <w:pPr>
        <w:spacing w:after="0" w:line="400"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制定与核准章程，是在高等学校治理过程中实现协商民主的一种重要实践。章程的制定， 应该是通过校内平等主体间协商民主而达成共识、达成共同约定或协议的过程，形成协议前的讨价还价和协商谈判是必不可少的。例如学院与学校间权力关系的界定和分工， 就应该是一个协商民主的博弈过程；章程的核定，同样也应该是学校与政府间实现协商民主、达成共识的过程。</w:t>
      </w:r>
    </w:p>
    <w:p>
      <w:pPr>
        <w:spacing w:after="0" w:line="204" w:lineRule="exact"/>
        <w:rPr>
          <w:color w:val="auto"/>
          <w:sz w:val="20"/>
          <w:szCs w:val="20"/>
          <w:shd w:val="clear" w:color="auto" w:fill="auto"/>
        </w:rPr>
      </w:pPr>
    </w:p>
    <w:p>
      <w:pPr>
        <w:spacing w:after="0" w:line="418"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大学作为高级知识分子最为集中的地方，应成为民主与法治的典范。民主是现代大学实现法治的基础。写在章程上的权利，不应仅仅是起草小组和个别专家参与的产物，它们应该是大学的各利益相关主体权利主张和利益博弈的结果。没有各利益主体的充分参与，没有各利益主体在制定章程过程中的充分利益表达，没有各利益相关主体主张权利并参与博弈的权利保障机制，程的制定就不能体现法治精神，就不是一个民主的过程。民主与法治要求各相关主体利益的充分表达、平等博弈以及在此基础上实现的平衡。不以此为前提而形成的章程， 不可能有真正地被认同和权威，更不可能深入人心。有民主这个实践基础的章程，只能是一纸空文。从这个意义上说，没有民主与法治原则的贯彻，就不可能有符合法治要求的现代大学章程。</w:t>
      </w:r>
    </w:p>
    <w:p>
      <w:pPr>
        <w:spacing w:after="0" w:line="200" w:lineRule="exact"/>
        <w:rPr>
          <w:color w:val="auto"/>
          <w:sz w:val="20"/>
          <w:szCs w:val="20"/>
          <w:shd w:val="clear" w:color="auto" w:fill="auto"/>
        </w:rPr>
      </w:pPr>
    </w:p>
    <w:p>
      <w:pPr>
        <w:spacing w:after="0" w:line="281"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8</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11" w:name="page11"/>
      <w:bookmarkEnd w:id="11"/>
    </w:p>
    <w:p>
      <w:pPr>
        <w:spacing w:after="0" w:line="407" w:lineRule="exact"/>
        <w:ind w:left="2"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法治不仅要求大学章程的内容符合法治原则，而且要求大学章程的制定过程必须是一个充分体现法治原则的民主过程。一个不是经过民主过程产生的大学章程，势必难以符合法治的要求，而不能体现民主与法治的章程建设，不可能完成“完善中国特色现代大学制度”的任务。因此，在章程建设过程中，民主原则的贯彻程度以及各种利益主体间交锋与博弈的充分程度， 表现大学现实的立法能力，亦应成为衡量大学章程立法水平和大学治理水平的另一个重要尺度。</w:t>
      </w:r>
    </w:p>
    <w:p>
      <w:pPr>
        <w:spacing w:after="0" w:line="172" w:lineRule="exact"/>
        <w:rPr>
          <w:color w:val="auto"/>
          <w:sz w:val="20"/>
          <w:szCs w:val="20"/>
          <w:shd w:val="clear" w:color="auto" w:fill="auto"/>
        </w:rPr>
      </w:pPr>
    </w:p>
    <w:p>
      <w:pPr>
        <w:spacing w:after="0" w:line="274" w:lineRule="exact"/>
        <w:ind w:left="482"/>
        <w:rPr>
          <w:color w:val="auto"/>
          <w:sz w:val="20"/>
          <w:szCs w:val="20"/>
          <w:shd w:val="clear" w:color="auto" w:fill="auto"/>
        </w:rPr>
      </w:pPr>
      <w:r>
        <w:rPr>
          <w:rFonts w:ascii="黑体" w:hAnsi="黑体" w:eastAsia="黑体" w:cs="黑体"/>
          <w:b/>
          <w:bCs/>
          <w:color w:val="auto"/>
          <w:sz w:val="24"/>
          <w:szCs w:val="24"/>
          <w:shd w:val="clear" w:color="auto" w:fill="auto"/>
        </w:rPr>
        <w:t>三、大学章程与大学的办学自主权</w:t>
      </w:r>
    </w:p>
    <w:p>
      <w:pPr>
        <w:spacing w:after="0" w:line="197" w:lineRule="exact"/>
        <w:rPr>
          <w:color w:val="auto"/>
          <w:sz w:val="20"/>
          <w:szCs w:val="20"/>
          <w:shd w:val="clear" w:color="auto" w:fill="auto"/>
        </w:rPr>
      </w:pPr>
    </w:p>
    <w:p>
      <w:pPr>
        <w:spacing w:after="0" w:line="390" w:lineRule="exact"/>
        <w:ind w:left="2" w:right="120" w:firstLine="480"/>
        <w:jc w:val="both"/>
        <w:rPr>
          <w:color w:val="auto"/>
          <w:sz w:val="20"/>
          <w:szCs w:val="20"/>
          <w:shd w:val="clear" w:color="auto" w:fill="auto"/>
        </w:rPr>
      </w:pPr>
      <w:r>
        <w:rPr>
          <w:rFonts w:ascii="宋体" w:hAnsi="宋体" w:eastAsia="宋体" w:cs="宋体"/>
          <w:color w:val="auto"/>
          <w:sz w:val="23"/>
          <w:szCs w:val="23"/>
          <w:shd w:val="clear" w:color="auto" w:fill="auto"/>
        </w:rPr>
        <w:t>随着中国高等教育管理体制改革的不断深化，高等教育的改革逐渐进入到高等学校层面。中国公办大学的改革趋向是逐步成为相对独立的自主办学实体，高等学校的办学自主权和自主管理权日益扩大。随着国家和各级政府教育行政部门对于公立大学的“松绑”过程，政府逐步向高等学校下放权力，今天的中国公办大学，已经改变了 20 世纪</w:t>
      </w:r>
    </w:p>
    <w:p>
      <w:pPr>
        <w:spacing w:after="0" w:line="204" w:lineRule="exact"/>
        <w:rPr>
          <w:color w:val="auto"/>
          <w:sz w:val="20"/>
          <w:szCs w:val="20"/>
          <w:shd w:val="clear" w:color="auto" w:fill="auto"/>
        </w:rPr>
      </w:pPr>
    </w:p>
    <w:p>
      <w:pPr>
        <w:numPr>
          <w:ilvl w:val="0"/>
          <w:numId w:val="1"/>
        </w:numPr>
        <w:tabs>
          <w:tab w:val="left" w:pos="364"/>
        </w:tabs>
        <w:spacing w:after="0" w:line="400" w:lineRule="exact"/>
        <w:ind w:left="2" w:right="120" w:hanging="2"/>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年代以前那种在校园里建个厕所和自行车棚也需要政府主管部门具体立项和审批的状况。中国公办大学作为独立的民事法人主体，已经享有民事法人对于学校人、财、物的完全的独立支配权，从世界范围的公办大学实践来看，中国的公立大学所享有的民事法人权利可以说是最大的。中国的公办大学可以独立地向银行贷款，可以按照自己的意志扩大和置换校园的土地，可以在世界范围内聘用人才。</w:t>
      </w:r>
    </w:p>
    <w:p>
      <w:pPr>
        <w:spacing w:after="0" w:line="203" w:lineRule="exact"/>
        <w:rPr>
          <w:rFonts w:ascii="宋体" w:hAnsi="宋体" w:eastAsia="宋体" w:cs="宋体"/>
          <w:color w:val="auto"/>
          <w:sz w:val="24"/>
          <w:szCs w:val="24"/>
          <w:shd w:val="clear" w:color="auto" w:fill="auto"/>
        </w:rPr>
      </w:pPr>
    </w:p>
    <w:p>
      <w:pPr>
        <w:spacing w:after="0" w:line="390" w:lineRule="exact"/>
        <w:ind w:left="2" w:firstLine="480"/>
        <w:jc w:val="both"/>
        <w:rPr>
          <w:rFonts w:ascii="宋体" w:hAnsi="宋体" w:eastAsia="宋体" w:cs="宋体"/>
          <w:color w:val="auto"/>
          <w:sz w:val="24"/>
          <w:szCs w:val="24"/>
          <w:shd w:val="clear" w:color="auto" w:fill="auto"/>
        </w:rPr>
      </w:pPr>
      <w:r>
        <w:rPr>
          <w:rFonts w:ascii="宋体" w:hAnsi="宋体" w:eastAsia="宋体" w:cs="宋体"/>
          <w:color w:val="auto"/>
          <w:sz w:val="23"/>
          <w:szCs w:val="23"/>
          <w:shd w:val="clear" w:color="auto" w:fill="auto"/>
        </w:rPr>
        <w:t>中国公立大学作为自主办学实体的公法人权利也在不断扩大。公办大学在学院（系、所）等内部组织机构的设置、人员配备以及学科规划、人才引进、学生培养、教师聘用、国际交流等方面的自主权不断扩大，但仍然存在着公办大学作为民事法人主体的权利过大而作为一个教育机构所应享有的教育法权利却太小的问题，亦即办事的权力不“小”</w:t>
      </w:r>
    </w:p>
    <w:p>
      <w:pPr>
        <w:spacing w:after="0" w:line="204" w:lineRule="exact"/>
        <w:rPr>
          <w:color w:val="auto"/>
          <w:sz w:val="20"/>
          <w:szCs w:val="20"/>
          <w:shd w:val="clear" w:color="auto" w:fill="auto"/>
        </w:rPr>
      </w:pPr>
    </w:p>
    <w:p>
      <w:pPr>
        <w:spacing w:after="0" w:line="373" w:lineRule="exact"/>
        <w:ind w:left="2" w:right="100"/>
        <w:jc w:val="both"/>
        <w:rPr>
          <w:color w:val="auto"/>
          <w:sz w:val="20"/>
          <w:szCs w:val="20"/>
          <w:shd w:val="clear" w:color="auto" w:fill="auto"/>
        </w:rPr>
      </w:pPr>
      <w:r>
        <w:rPr>
          <w:rFonts w:ascii="宋体" w:hAnsi="宋体" w:eastAsia="宋体" w:cs="宋体"/>
          <w:color w:val="auto"/>
          <w:sz w:val="24"/>
          <w:szCs w:val="24"/>
          <w:shd w:val="clear" w:color="auto" w:fill="auto"/>
        </w:rPr>
        <w:t>而办学的权力不 “大”。《高等教育法》所规定的高等学校办学自主权，仍有待通过高等学校的章程建设来具体落实。章程建设的“立法”过程，应该是大学与政府主管部门通过充分的谈判协商，明确划定大学自主权边界的博弈过程。</w:t>
      </w:r>
    </w:p>
    <w:p>
      <w:pPr>
        <w:spacing w:after="0" w:line="201" w:lineRule="exact"/>
        <w:rPr>
          <w:color w:val="auto"/>
          <w:sz w:val="20"/>
          <w:szCs w:val="20"/>
          <w:shd w:val="clear" w:color="auto" w:fill="auto"/>
        </w:rPr>
      </w:pPr>
    </w:p>
    <w:p>
      <w:pPr>
        <w:spacing w:after="0" w:line="415" w:lineRule="exact"/>
        <w:ind w:left="2"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伴随高等学校办学自主权的日益扩大和落实，与高等学校办学自主权相联系的问题和纠纷也在增多。在公办大学办学自主权日益增大的同时，建立和完善对于办学自主权的自我约束机制就成为一种迫切需要。为避免办学自主权的滥用，必须厘清公办大学自主发展的合法性边界，建立和完善公办高等学校的法人治理结构和自我约束机制——对不断扩大的办学自主权的制约和监督。“依法制定章程，依照章程规定管理学校”是公办大学“依法办学，自主管理”的基本要求。为此，法人治理结构、校长职权、高等学校依法行使的权力，是在 “章程建设” 过程中落实大学“依法办学，自主管理”的重要内容。</w:t>
      </w:r>
    </w:p>
    <w:p>
      <w:pPr>
        <w:spacing w:after="0" w:line="200" w:lineRule="exact"/>
        <w:rPr>
          <w:color w:val="auto"/>
          <w:sz w:val="20"/>
          <w:szCs w:val="20"/>
          <w:shd w:val="clear" w:color="auto" w:fill="auto"/>
        </w:rPr>
      </w:pPr>
    </w:p>
    <w:p>
      <w:pPr>
        <w:spacing w:after="0" w:line="285" w:lineRule="exact"/>
        <w:rPr>
          <w:color w:val="auto"/>
          <w:sz w:val="20"/>
          <w:szCs w:val="20"/>
          <w:shd w:val="clear" w:color="auto" w:fill="auto"/>
        </w:rPr>
      </w:pPr>
    </w:p>
    <w:p>
      <w:pPr>
        <w:spacing w:after="0"/>
        <w:ind w:right="118"/>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9</w:t>
      </w:r>
    </w:p>
    <w:p>
      <w:pPr>
        <w:rPr>
          <w:shd w:val="clear" w:color="auto" w:fill="auto"/>
        </w:rPr>
        <w:sectPr>
          <w:pgSz w:w="11900" w:h="16840"/>
          <w:pgMar w:top="1440" w:right="1304" w:bottom="587" w:left="1418" w:header="0" w:footer="0" w:gutter="0"/>
          <w:cols w:equalWidth="0" w:num="1">
            <w:col w:w="9182"/>
          </w:cols>
        </w:sectPr>
      </w:pPr>
    </w:p>
    <w:p>
      <w:pPr>
        <w:spacing w:after="0" w:line="100" w:lineRule="exact"/>
        <w:rPr>
          <w:color w:val="auto"/>
          <w:sz w:val="20"/>
          <w:szCs w:val="20"/>
          <w:shd w:val="clear" w:color="auto" w:fill="auto"/>
        </w:rPr>
      </w:pPr>
      <w:bookmarkStart w:id="12" w:name="page12"/>
      <w:bookmarkEnd w:id="12"/>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（一）完善法人治理结构应是高等学校章程建设核心性的重要任务</w:t>
      </w:r>
    </w:p>
    <w:p>
      <w:pPr>
        <w:spacing w:after="0" w:line="189" w:lineRule="exact"/>
        <w:rPr>
          <w:color w:val="auto"/>
          <w:sz w:val="20"/>
          <w:szCs w:val="20"/>
          <w:shd w:val="clear" w:color="auto" w:fill="auto"/>
        </w:rPr>
      </w:pPr>
    </w:p>
    <w:p>
      <w:pPr>
        <w:spacing w:after="0" w:line="407"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公司法人治理结构是以法制为基础，按照公司本质属性的要求形成的。公司法人治理结构各个组成部分的产生和组成，行使的职权、行事的规则等都由公司法做出具体规定。经济合作与发展组织（OECD）理事会 1999 年通过的《公司治理结构原则》，概括了不同公司治理结构的共同要求，充分考虑了在公司治理结构中各个利益相关者的作用，认识到一个公司竞争力的发挥和最终成功是利益相关者协同作用的结果，是来自不同资源提供者特别是包括职工在内的贡献。</w:t>
      </w:r>
    </w:p>
    <w:p>
      <w:pPr>
        <w:spacing w:after="0" w:line="204" w:lineRule="exact"/>
        <w:rPr>
          <w:color w:val="auto"/>
          <w:sz w:val="20"/>
          <w:szCs w:val="20"/>
          <w:shd w:val="clear" w:color="auto" w:fill="auto"/>
        </w:rPr>
      </w:pPr>
    </w:p>
    <w:p>
      <w:pPr>
        <w:spacing w:after="0" w:line="418" w:lineRule="exact"/>
        <w:ind w:firstLine="480"/>
        <w:rPr>
          <w:color w:val="auto"/>
          <w:sz w:val="20"/>
          <w:szCs w:val="20"/>
          <w:shd w:val="clear" w:color="auto" w:fill="auto"/>
        </w:rPr>
      </w:pPr>
      <w:r>
        <w:rPr>
          <w:rFonts w:ascii="宋体" w:hAnsi="宋体" w:eastAsia="宋体" w:cs="宋体"/>
          <w:color w:val="auto"/>
          <w:sz w:val="24"/>
          <w:szCs w:val="24"/>
          <w:shd w:val="clear" w:color="auto" w:fill="auto"/>
        </w:rPr>
        <w:t>高等学校的本质属性不同于公司， 高等学校法人治理结构难以完全照搬公司法人的治理结构。但公司法人治理结构的基本原则，对完善大学法人治理结构具有参考意义。我国《高等教育法》有关规定中所明确的那些公办大学法人治理结构原则，仍需要通过高等学校的章程建设加以细化和做出具体的规定。党的十八大报告提出：“健全权力运行制约和监督体系。坚持用制度管权管事管人”，“要确保决策权、 执行权、 监督权既相互制约又相互协调， 确保国家机关按照法定权限和程序行使权力”。章程建设是落实党的十八大报告精神、完善高等学校法人治理结构的一个重要契机。通过章程建设推进大学管理的民主化和法治化，实现利益相关者的多元共同治理，是章程建设肩负的一个核心性的重要任务。</w:t>
      </w:r>
    </w:p>
    <w:p>
      <w:pPr>
        <w:spacing w:after="0" w:line="203" w:lineRule="exact"/>
        <w:rPr>
          <w:color w:val="auto"/>
          <w:sz w:val="20"/>
          <w:szCs w:val="20"/>
          <w:shd w:val="clear" w:color="auto" w:fill="auto"/>
        </w:rPr>
      </w:pPr>
    </w:p>
    <w:p>
      <w:pPr>
        <w:spacing w:after="0" w:line="377" w:lineRule="exact"/>
        <w:ind w:right="120" w:firstLine="482"/>
        <w:jc w:val="both"/>
        <w:rPr>
          <w:color w:val="auto"/>
          <w:sz w:val="20"/>
          <w:szCs w:val="20"/>
          <w:shd w:val="clear" w:color="auto" w:fill="auto"/>
        </w:rPr>
      </w:pPr>
      <w:r>
        <w:rPr>
          <w:rFonts w:ascii="楷体" w:hAnsi="楷体" w:eastAsia="楷体" w:cs="楷体"/>
          <w:b/>
          <w:bCs/>
          <w:color w:val="auto"/>
          <w:sz w:val="23"/>
          <w:szCs w:val="23"/>
          <w:shd w:val="clear" w:color="auto" w:fill="auto"/>
        </w:rPr>
        <w:t>（二）进一步建立和完善相应的自我约束机制章程建设应有利于提高高等学校自主办学行为的合法性，在明确高等学校办学自主权的同时，应进一步建立和完善相应的自我约束机制。</w:t>
      </w:r>
      <w:r>
        <w:rPr>
          <w:rFonts w:ascii="宋体" w:hAnsi="宋体" w:eastAsia="宋体" w:cs="宋体"/>
          <w:color w:val="auto"/>
          <w:sz w:val="23"/>
          <w:szCs w:val="23"/>
          <w:shd w:val="clear" w:color="auto" w:fill="auto"/>
        </w:rPr>
        <w:t>高等学校办学行为的合法性，要求办学行为要有法定依据，即实现依法办</w:t>
      </w:r>
    </w:p>
    <w:p>
      <w:pPr>
        <w:spacing w:after="0" w:line="192" w:lineRule="exact"/>
        <w:rPr>
          <w:color w:val="auto"/>
          <w:sz w:val="20"/>
          <w:szCs w:val="20"/>
          <w:shd w:val="clear" w:color="auto" w:fill="auto"/>
        </w:rPr>
      </w:pPr>
    </w:p>
    <w:p>
      <w:pPr>
        <w:spacing w:after="0" w:line="400" w:lineRule="exact"/>
        <w:ind w:right="60"/>
        <w:jc w:val="both"/>
        <w:rPr>
          <w:color w:val="auto"/>
          <w:sz w:val="20"/>
          <w:szCs w:val="20"/>
          <w:shd w:val="clear" w:color="auto" w:fill="auto"/>
        </w:rPr>
      </w:pPr>
      <w:r>
        <w:rPr>
          <w:rFonts w:ascii="宋体" w:hAnsi="宋体" w:eastAsia="宋体" w:cs="宋体"/>
          <w:color w:val="auto"/>
          <w:sz w:val="24"/>
          <w:szCs w:val="24"/>
          <w:shd w:val="clear" w:color="auto" w:fill="auto"/>
        </w:rPr>
        <w:t>学。因此，通过大学的章程建设，厘清公办大学自主发展的合法性边界，大学的各种办学行为和管理活动做出明确的规定并形成规范体系，使大学的自主办学和发展有章可循、有据可查。所以说，完善的章程是公立大学依法自主办学和自主管理的重要依据。在这个基础上，才能有合理与合法的大学自主权，也才能形成合乎逻辑的大学自律。从这个意义上可以说，学校管理的法治化趋向标志着学校管理的现代化进程。</w:t>
      </w:r>
    </w:p>
    <w:p>
      <w:pPr>
        <w:spacing w:after="0" w:line="181"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（三）大学的自主权不等于大学校长的自主权</w:t>
      </w:r>
    </w:p>
    <w:p>
      <w:pPr>
        <w:spacing w:after="0" w:line="189" w:lineRule="exact"/>
        <w:rPr>
          <w:color w:val="auto"/>
          <w:sz w:val="20"/>
          <w:szCs w:val="20"/>
          <w:shd w:val="clear" w:color="auto" w:fill="auto"/>
        </w:rPr>
      </w:pPr>
    </w:p>
    <w:p>
      <w:pPr>
        <w:spacing w:after="0" w:line="407"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大学校长作为学校的法定代表人和行政负责人，目前存在着一方面 “权力太小” — 应有的权力没有；另一方面又“权力太大”——不该有的权力也有，且对其缺乏有效的应有限制和约束机制。“章程建设”应明确校长权力及其行使的边界，落实和保障校长的应有职权。同时，应通过完善“党委领导下的校长负责制”以及明确和完善“教职工代表大会”、“学生代表大会”及其他群众团体的制度性机制和作用完善校长权力依法“接受师生员工和社会监督”的体制性和制度性的制约和监督机制。</w:t>
      </w:r>
    </w:p>
    <w:p>
      <w:pPr>
        <w:spacing w:after="0" w:line="200" w:lineRule="exact"/>
        <w:rPr>
          <w:color w:val="auto"/>
          <w:sz w:val="20"/>
          <w:szCs w:val="20"/>
          <w:shd w:val="clear" w:color="auto" w:fill="auto"/>
        </w:rPr>
      </w:pPr>
    </w:p>
    <w:p>
      <w:pPr>
        <w:spacing w:after="0" w:line="28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10</w:t>
      </w:r>
    </w:p>
    <w:p>
      <w:pPr>
        <w:rPr>
          <w:shd w:val="clear" w:color="auto" w:fill="auto"/>
        </w:rPr>
        <w:sectPr>
          <w:pgSz w:w="11900" w:h="16840"/>
          <w:pgMar w:top="1440" w:right="1304" w:bottom="587" w:left="1420" w:header="0" w:footer="0" w:gutter="0"/>
          <w:cols w:equalWidth="0" w:num="1">
            <w:col w:w="9180"/>
          </w:cols>
        </w:sectPr>
      </w:pPr>
    </w:p>
    <w:p>
      <w:pPr>
        <w:spacing w:after="0" w:line="102" w:lineRule="exact"/>
        <w:rPr>
          <w:color w:val="auto"/>
          <w:sz w:val="20"/>
          <w:szCs w:val="20"/>
          <w:shd w:val="clear" w:color="auto" w:fill="auto"/>
        </w:rPr>
      </w:pPr>
      <w:bookmarkStart w:id="13" w:name="page13"/>
      <w:bookmarkEnd w:id="13"/>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大学自治或大学的自主权，主要表现为一种对外的学校权利或对内的机构权力。学</w:t>
      </w:r>
    </w:p>
    <w:p>
      <w:pPr>
        <w:spacing w:after="0" w:line="182" w:lineRule="exact"/>
        <w:rPr>
          <w:color w:val="auto"/>
          <w:sz w:val="20"/>
          <w:szCs w:val="20"/>
          <w:shd w:val="clear" w:color="auto" w:fill="auto"/>
        </w:rPr>
      </w:pPr>
    </w:p>
    <w:p>
      <w:pPr>
        <w:spacing w:after="0" w:line="421" w:lineRule="exact"/>
        <w:ind w:right="40"/>
        <w:jc w:val="both"/>
        <w:rPr>
          <w:color w:val="auto"/>
          <w:sz w:val="20"/>
          <w:szCs w:val="20"/>
          <w:shd w:val="clear" w:color="auto" w:fill="auto"/>
        </w:rPr>
      </w:pPr>
      <w:r>
        <w:rPr>
          <w:rFonts w:ascii="宋体" w:hAnsi="宋体" w:eastAsia="宋体" w:cs="宋体"/>
          <w:color w:val="auto"/>
          <w:sz w:val="23"/>
          <w:szCs w:val="23"/>
          <w:shd w:val="clear" w:color="auto" w:fill="auto"/>
        </w:rPr>
        <w:t>校权力作为一种学术机构的权力，可以从广义上被称为 “学术权力”</w:t>
      </w:r>
      <w:r>
        <w:rPr>
          <w:rFonts w:ascii="宋体" w:hAnsi="宋体" w:eastAsia="宋体" w:cs="宋体"/>
          <w:color w:val="auto"/>
          <w:sz w:val="23"/>
          <w:szCs w:val="23"/>
          <w:shd w:val="clear" w:color="auto" w:fill="auto"/>
          <w:vertAlign w:val="superscript"/>
        </w:rPr>
        <w:t>［2］</w:t>
      </w:r>
      <w:r>
        <w:rPr>
          <w:rFonts w:ascii="宋体" w:hAnsi="宋体" w:eastAsia="宋体" w:cs="宋体"/>
          <w:color w:val="auto"/>
          <w:sz w:val="23"/>
          <w:szCs w:val="23"/>
          <w:shd w:val="clear" w:color="auto" w:fill="auto"/>
        </w:rPr>
        <w:t>，但是，这种被视为“学术共同体的权力”，在中国特色的现代大学中并不意味着良好的学术环境和学术自由。“这是因为，在一切能够接受法律支配的人类状态中，哪里没有法律，哪里就没有自由。”</w:t>
      </w:r>
      <w:r>
        <w:rPr>
          <w:rFonts w:ascii="宋体" w:hAnsi="宋体" w:eastAsia="宋体" w:cs="宋体"/>
          <w:color w:val="auto"/>
          <w:sz w:val="23"/>
          <w:szCs w:val="23"/>
          <w:shd w:val="clear" w:color="auto" w:fill="auto"/>
          <w:vertAlign w:val="superscript"/>
        </w:rPr>
        <w:t>［3］</w:t>
      </w:r>
      <w:r>
        <w:rPr>
          <w:rFonts w:ascii="宋体" w:hAnsi="宋体" w:eastAsia="宋体" w:cs="宋体"/>
          <w:color w:val="auto"/>
          <w:sz w:val="23"/>
          <w:szCs w:val="23"/>
          <w:shd w:val="clear" w:color="auto" w:fill="auto"/>
        </w:rPr>
        <w:t>近些年来，中国大学的行政化备受诟病，大学中行政权力无处不在的强势地位以及相应的行政化思维和行政化行为方式，大大削弱了大学的民主与法治，严重破坏了大学应有的学术环境，对“强势校长”或“强势书记”缺少应有的制约机制。大学行政化的症结在于，目前的大学中没有大学相关主体进行利益博弈的参与平台和制度机制，只有行政权力的一尊独大。因此，通过章程建设完善大学治理，改变“行政化管理模式”，建立和完善最有利于学术发展的制度机制和治理模式，形成对行政性管理权力的有效平衡、制约和监督机制，对中国大学的健康发展至关重要。</w:t>
      </w:r>
    </w:p>
    <w:p>
      <w:pPr>
        <w:spacing w:after="0" w:line="17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四、大学章程与大学的公共性</w:t>
      </w:r>
    </w:p>
    <w:p>
      <w:pPr>
        <w:spacing w:after="0" w:line="198" w:lineRule="exact"/>
        <w:rPr>
          <w:color w:val="auto"/>
          <w:sz w:val="20"/>
          <w:szCs w:val="20"/>
          <w:shd w:val="clear" w:color="auto" w:fill="auto"/>
        </w:rPr>
      </w:pPr>
    </w:p>
    <w:p>
      <w:pPr>
        <w:spacing w:after="0" w:line="373"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中国目前进行的“完善中国特色现代大学制度”改革的价值目标是什么？以什么样的标准来衡量这一改革的成败？这是在当前中国公共政策语境下讨论中国现代大学制度改革的一个不可缺少的前提。</w:t>
      </w:r>
    </w:p>
    <w:p>
      <w:pPr>
        <w:spacing w:after="0" w:line="201" w:lineRule="exact"/>
        <w:rPr>
          <w:color w:val="auto"/>
          <w:sz w:val="20"/>
          <w:szCs w:val="20"/>
          <w:shd w:val="clear" w:color="auto" w:fill="auto"/>
        </w:rPr>
      </w:pPr>
    </w:p>
    <w:p>
      <w:pPr>
        <w:spacing w:after="0" w:line="428"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在新公共管理理论的影响下，公共管理注重市场的力量，引入市场原则，注重管理的弹性而不是僵化，广泛采用私营部门成功的管理方法和竞争机制，承认交易行为，在提高灵活性和效率的同时，也使得掌握公共权力的人或者群体有了谋取私利的可能。公共管理实践中，权力的交易现象大量地存在着。在改革与发展进程中的中国公办大学，在资源有限和竞争不断加剧的压力下，公办大学为谋求发展和争取资源，在运用市场方式的交易行为中，掌握权力的个体和群体以权谋私的现象以各种方式存在着。“消费者导向”的思维以及相应的行为，在公办大学的发展实践中虽然显示出了生机和活力，但也积淀了不容忽视的理念、价值观与现实的矛盾和冲突。例如有关“教育产业化”的争议，有关“大学公共性”的讨论以及公办大学与民办大学在履行公共职能、承担社会责任方面的异同等。当社会评价一所大学办得好与不好时，评价依据和判断标准是什么？在公办大学所应承担的社会担当、政治责任、公共职能和大学的效率、效益甚至表面数据之间如何协调和平衡？大学的治理结构和核心理念对于评价一所公办大学的优劣居于何种地位？著名公办大学的学者受到媒体关注的那些具有 “轰动” 效应的言论反映了大学中的什么问题？大学的招生青睐于“大款”和官员，有违大学的公共性吗？“引导社会”是大学的责任吗？如何评价量化思维和技术性数据至上对中国大学发展的影响，以及与此相联系的中国大学对于“没有灵魂的卓越”的追求？导致这些现象的根源</w:t>
      </w:r>
    </w:p>
    <w:p>
      <w:pPr>
        <w:spacing w:after="0" w:line="200" w:lineRule="exact"/>
        <w:rPr>
          <w:color w:val="auto"/>
          <w:sz w:val="20"/>
          <w:szCs w:val="20"/>
          <w:shd w:val="clear" w:color="auto" w:fill="auto"/>
        </w:rPr>
      </w:pPr>
    </w:p>
    <w:p>
      <w:pPr>
        <w:spacing w:after="0" w:line="279"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11</w:t>
      </w:r>
    </w:p>
    <w:p>
      <w:pPr>
        <w:rPr>
          <w:shd w:val="clear" w:color="auto" w:fill="auto"/>
        </w:rPr>
        <w:sectPr>
          <w:pgSz w:w="11900" w:h="16840"/>
          <w:pgMar w:top="1440" w:right="1364" w:bottom="587" w:left="1420" w:header="0" w:footer="0" w:gutter="0"/>
          <w:cols w:equalWidth="0" w:num="1">
            <w:col w:w="9120"/>
          </w:cols>
        </w:sectPr>
      </w:pPr>
    </w:p>
    <w:p>
      <w:pPr>
        <w:spacing w:after="0" w:line="90" w:lineRule="exact"/>
        <w:rPr>
          <w:color w:val="auto"/>
          <w:sz w:val="20"/>
          <w:szCs w:val="20"/>
          <w:shd w:val="clear" w:color="auto" w:fill="auto"/>
        </w:rPr>
      </w:pPr>
      <w:bookmarkStart w:id="14" w:name="page14"/>
      <w:bookmarkEnd w:id="14"/>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是什么？公办大学的章程建设是否需要正视并认真面对这些问题？</w:t>
      </w:r>
    </w:p>
    <w:p>
      <w:pPr>
        <w:spacing w:after="0" w:line="199" w:lineRule="exact"/>
        <w:rPr>
          <w:color w:val="auto"/>
          <w:sz w:val="20"/>
          <w:szCs w:val="20"/>
          <w:shd w:val="clear" w:color="auto" w:fill="auto"/>
        </w:rPr>
      </w:pPr>
    </w:p>
    <w:p>
      <w:pPr>
        <w:spacing w:after="0" w:line="412" w:lineRule="exact"/>
        <w:ind w:right="20" w:firstLine="480"/>
        <w:jc w:val="both"/>
        <w:rPr>
          <w:color w:val="auto"/>
          <w:sz w:val="20"/>
          <w:szCs w:val="20"/>
          <w:shd w:val="clear" w:color="auto" w:fill="auto"/>
        </w:rPr>
      </w:pPr>
      <w:r>
        <w:rPr>
          <w:rFonts w:ascii="宋体" w:hAnsi="宋体" w:eastAsia="宋体" w:cs="宋体"/>
          <w:color w:val="auto"/>
          <w:sz w:val="23"/>
          <w:szCs w:val="23"/>
          <w:shd w:val="clear" w:color="auto" w:fill="auto"/>
        </w:rPr>
        <w:t>以完善中国特色现代大学制度为目的而进行的大学章程建设，绝不能仅仅是一个大学内部权利的宣言。谋求特殊利益甚至非法利益的大学，其机构利益和公办大学的公共性及其所应承担的公共职能不具有一致性。因此，今天中国公办大学的章程，不应该仅仅是大学内部的权利宣言或大学自主权的一种表达。一个有着明确公共服务理念和责任意识的公办高等学校，应该自觉地承担起推进文明进步、民主法治和社会公正，促进社会公平的责任，不仅应拒绝乱收费、乱招生等不符合公共性要求的行为，而且应该自觉抵制一切有违大学作为一个公共服务机构价值原则的不当利益获得和交换行为。</w:t>
      </w:r>
    </w:p>
    <w:p>
      <w:pPr>
        <w:spacing w:after="0" w:line="203" w:lineRule="exact"/>
        <w:rPr>
          <w:color w:val="auto"/>
          <w:sz w:val="20"/>
          <w:szCs w:val="20"/>
          <w:shd w:val="clear" w:color="auto" w:fill="auto"/>
        </w:rPr>
      </w:pPr>
    </w:p>
    <w:p>
      <w:pPr>
        <w:spacing w:after="0" w:line="415"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教育部 《高等学校章程制定暂行办法》总则第三条规定，“章程是高等学校依法自主办学、实施管理和履行公共职能的基本准则。高等学校应当以章程为依据，制定内部管理制度及规范性文件、实施办学和管理活动、开展社会合作”。这条规定体现了政府对公立高等学校权利与义务相平衡的要求。章程不仅要规定学校 “自主办学、 实施管理”的权利，而且应明确公立高等学校履行的社会公共职能，以及所应承担的社会责任和义务——对国家、地方或行业发展所承担的责任和义务；学校的类型不同（综合、师范、医学院、财经学院、政法学院等），应承担的社会责任和公共职能也是不同的；学科设置不同，学科优势存在差异，都应与大学的公共性相联系。</w:t>
      </w:r>
    </w:p>
    <w:p>
      <w:pPr>
        <w:spacing w:after="0" w:line="207" w:lineRule="exact"/>
        <w:rPr>
          <w:color w:val="auto"/>
          <w:sz w:val="20"/>
          <w:szCs w:val="20"/>
          <w:shd w:val="clear" w:color="auto" w:fill="auto"/>
        </w:rPr>
      </w:pPr>
    </w:p>
    <w:p>
      <w:pPr>
        <w:spacing w:after="0" w:line="389" w:lineRule="exact"/>
        <w:ind w:right="20" w:firstLine="480"/>
        <w:jc w:val="both"/>
        <w:rPr>
          <w:color w:val="auto"/>
          <w:sz w:val="20"/>
          <w:szCs w:val="20"/>
          <w:shd w:val="clear" w:color="auto" w:fill="auto"/>
        </w:rPr>
      </w:pPr>
      <w:r>
        <w:rPr>
          <w:rFonts w:ascii="宋体" w:hAnsi="宋体" w:eastAsia="宋体" w:cs="宋体"/>
          <w:color w:val="auto"/>
          <w:sz w:val="24"/>
          <w:szCs w:val="24"/>
          <w:shd w:val="clear" w:color="auto" w:fill="auto"/>
        </w:rPr>
        <w:t>今天的公办高等学校，经不同于欧洲传统的非公立大学。盎格鲁—撒克逊自由教育传统中的大学，曾经主要是一个学术共同体，大家共同的自由研究兴趣凑在一起，在象牙塔中自己玩。那时的大学章程，基本上是基于大学自治的需要，是学者在学术共同体中的一种游戏规则。</w:t>
      </w:r>
    </w:p>
    <w:p>
      <w:pPr>
        <w:spacing w:after="0" w:line="205" w:lineRule="exact"/>
        <w:rPr>
          <w:color w:val="auto"/>
          <w:sz w:val="20"/>
          <w:szCs w:val="20"/>
          <w:shd w:val="clear" w:color="auto" w:fill="auto"/>
        </w:rPr>
      </w:pPr>
    </w:p>
    <w:p>
      <w:pPr>
        <w:spacing w:after="0" w:line="390" w:lineRule="exact"/>
        <w:ind w:right="20" w:firstLine="480"/>
        <w:jc w:val="both"/>
        <w:rPr>
          <w:color w:val="auto"/>
          <w:sz w:val="20"/>
          <w:szCs w:val="20"/>
          <w:shd w:val="clear" w:color="auto" w:fill="auto"/>
        </w:rPr>
      </w:pPr>
      <w:r>
        <w:rPr>
          <w:rFonts w:ascii="宋体" w:hAnsi="宋体" w:eastAsia="宋体" w:cs="宋体"/>
          <w:color w:val="auto"/>
          <w:sz w:val="23"/>
          <w:szCs w:val="23"/>
          <w:shd w:val="clear" w:color="auto" w:fill="auto"/>
        </w:rPr>
        <w:t>中国的现代公办大学，作为一种主要依赖公共财政建立并维持和发展（供养）的公营造物或社会公器，作为一种公共服务机构，应更好地高效率地履行社会公共职能、承担社会责任、满足公共性的基本要求。约翰·布鲁贝克认为，高等教育越卷入社会事务就越有必要用政治观点来看待，就像战争意义太重大而不能完全交给将军决定一样，等</w:t>
      </w:r>
    </w:p>
    <w:p>
      <w:pPr>
        <w:spacing w:after="0" w:line="187" w:lineRule="exact"/>
        <w:rPr>
          <w:color w:val="auto"/>
          <w:sz w:val="20"/>
          <w:szCs w:val="20"/>
          <w:shd w:val="clear" w:color="auto" w:fill="auto"/>
        </w:rPr>
      </w:pPr>
    </w:p>
    <w:p>
      <w:pPr>
        <w:spacing w:after="0" w:line="403" w:lineRule="exact"/>
        <w:ind w:right="20"/>
        <w:jc w:val="both"/>
        <w:rPr>
          <w:color w:val="auto"/>
          <w:sz w:val="20"/>
          <w:szCs w:val="20"/>
          <w:shd w:val="clear" w:color="auto" w:fill="auto"/>
        </w:rPr>
      </w:pPr>
      <w:r>
        <w:rPr>
          <w:rFonts w:ascii="宋体" w:hAnsi="宋体" w:eastAsia="宋体" w:cs="宋体"/>
          <w:color w:val="auto"/>
          <w:sz w:val="24"/>
          <w:szCs w:val="24"/>
          <w:shd w:val="clear" w:color="auto" w:fill="auto"/>
        </w:rPr>
        <w:t>教育也不能完全留给教授们决定。</w:t>
      </w:r>
      <w:r>
        <w:rPr>
          <w:rFonts w:ascii="宋体" w:hAnsi="宋体" w:eastAsia="宋体" w:cs="宋体"/>
          <w:color w:val="auto"/>
          <w:sz w:val="24"/>
          <w:szCs w:val="24"/>
          <w:shd w:val="clear" w:color="auto" w:fill="auto"/>
          <w:vertAlign w:val="superscript"/>
        </w:rPr>
        <w:t>［4］</w:t>
      </w:r>
      <w:r>
        <w:rPr>
          <w:rFonts w:ascii="宋体" w:hAnsi="宋体" w:eastAsia="宋体" w:cs="宋体"/>
          <w:color w:val="auto"/>
          <w:sz w:val="24"/>
          <w:szCs w:val="24"/>
          <w:shd w:val="clear" w:color="auto" w:fill="auto"/>
        </w:rPr>
        <w:t>高等教育作为一种准公共物品的特性，意味着，大学自身并不是完整意义上的办学利益主体，而是应由社会利益来决定其公共价值，每一类利益相关者都不应单独地对大学行使控制权，大学治理结构作为比管理结构更为基础的制度结构，其根本目的是建立大学决策过程与公共利益以及社会权利主体的合理联系，实现大学的公共性和社会价值的最大化。</w:t>
      </w:r>
    </w:p>
    <w:p>
      <w:pPr>
        <w:spacing w:after="0" w:line="172" w:lineRule="exact"/>
        <w:rPr>
          <w:color w:val="auto"/>
          <w:sz w:val="20"/>
          <w:szCs w:val="20"/>
          <w:shd w:val="clear" w:color="auto" w:fill="auto"/>
        </w:rPr>
      </w:pPr>
    </w:p>
    <w:p>
      <w:pPr>
        <w:spacing w:after="0" w:line="347"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今天的中国，正在走向法治，强调科学发展，国家的公共管理体制也在进行改革和重构。正是在这种背景下，人们对大学自身运行中的弊端 （对行政化的批评是其中的焦点之一）以及大学履行公共职能中的问题进行批评和质疑。大学备受诟病的核心，是</w:t>
      </w:r>
    </w:p>
    <w:p>
      <w:pPr>
        <w:spacing w:after="0" w:line="149"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12</w:t>
      </w:r>
    </w:p>
    <w:p>
      <w:pPr>
        <w:rPr>
          <w:shd w:val="clear" w:color="auto" w:fill="auto"/>
        </w:rPr>
        <w:sectPr>
          <w:pgSz w:w="11900" w:h="16840"/>
          <w:pgMar w:top="1440" w:right="1404" w:bottom="587" w:left="1420" w:header="0" w:footer="0" w:gutter="0"/>
          <w:cols w:equalWidth="0" w:num="1">
            <w:col w:w="9080"/>
          </w:cols>
        </w:sectPr>
      </w:pPr>
    </w:p>
    <w:p>
      <w:pPr>
        <w:spacing w:after="0" w:line="93" w:lineRule="exact"/>
        <w:rPr>
          <w:color w:val="auto"/>
          <w:sz w:val="20"/>
          <w:szCs w:val="20"/>
          <w:shd w:val="clear" w:color="auto" w:fill="auto"/>
        </w:rPr>
      </w:pPr>
      <w:bookmarkStart w:id="15" w:name="page15"/>
      <w:bookmarkEnd w:id="15"/>
    </w:p>
    <w:p>
      <w:pPr>
        <w:spacing w:after="0" w:line="346" w:lineRule="exact"/>
        <w:ind w:right="120"/>
        <w:jc w:val="both"/>
        <w:rPr>
          <w:color w:val="auto"/>
          <w:sz w:val="20"/>
          <w:szCs w:val="20"/>
          <w:shd w:val="clear" w:color="auto" w:fill="auto"/>
        </w:rPr>
      </w:pPr>
      <w:r>
        <w:rPr>
          <w:rFonts w:ascii="宋体" w:hAnsi="宋体" w:eastAsia="宋体" w:cs="宋体"/>
          <w:color w:val="auto"/>
          <w:sz w:val="24"/>
          <w:szCs w:val="24"/>
          <w:shd w:val="clear" w:color="auto" w:fill="auto"/>
        </w:rPr>
        <w:t>近十几年来在高等教育经费不断增加、大学中亮丽的大楼拔地而起的同时，大学是否真正承担了应有的公共职能和社会责任，是否真正提高了公共服务的质量和水平，是否真正符合民主与法治和社会进步的要求而坚持了公办大学的公共性？</w:t>
      </w:r>
    </w:p>
    <w:p>
      <w:pPr>
        <w:spacing w:after="0" w:line="163" w:lineRule="exact"/>
        <w:rPr>
          <w:color w:val="auto"/>
          <w:sz w:val="20"/>
          <w:szCs w:val="20"/>
          <w:shd w:val="clear" w:color="auto" w:fill="auto"/>
        </w:rPr>
      </w:pPr>
    </w:p>
    <w:p>
      <w:pPr>
        <w:spacing w:after="0" w:line="380" w:lineRule="exact"/>
        <w:ind w:firstLine="480"/>
        <w:rPr>
          <w:color w:val="auto"/>
          <w:sz w:val="20"/>
          <w:szCs w:val="20"/>
          <w:shd w:val="clear" w:color="auto" w:fill="auto"/>
        </w:rPr>
      </w:pPr>
      <w:r>
        <w:rPr>
          <w:rFonts w:ascii="宋体" w:hAnsi="宋体" w:eastAsia="宋体" w:cs="宋体"/>
          <w:color w:val="auto"/>
          <w:sz w:val="24"/>
          <w:szCs w:val="24"/>
          <w:shd w:val="clear" w:color="auto" w:fill="auto"/>
        </w:rPr>
        <w:t>大学的改革和发展不能脱离大学的公共性。公共性不是一个空洞的口号，也不是公办大学与生俱来的专利。大学的公共性通过大学治理结构的公共性、大学功能的公共性、大学与社会沟通方式的公共性、大学观念的公共性和大学实践的公共性等具体样态表现出来。</w:t>
      </w:r>
      <w:r>
        <w:rPr>
          <w:rFonts w:ascii="宋体" w:hAnsi="宋体" w:eastAsia="宋体" w:cs="宋体"/>
          <w:color w:val="auto"/>
          <w:sz w:val="24"/>
          <w:szCs w:val="24"/>
          <w:shd w:val="clear" w:color="auto" w:fill="auto"/>
          <w:vertAlign w:val="superscript"/>
        </w:rPr>
        <w:t>［5］</w:t>
      </w:r>
      <w:r>
        <w:rPr>
          <w:rFonts w:ascii="宋体" w:hAnsi="宋体" w:eastAsia="宋体" w:cs="宋体"/>
          <w:color w:val="auto"/>
          <w:sz w:val="24"/>
          <w:szCs w:val="24"/>
          <w:shd w:val="clear" w:color="auto" w:fill="auto"/>
        </w:rPr>
        <w:t>为避免“没有灵魂的卓越”，坚持大学的公共性，履行公共职能和承担社会责任，是大学作为一种学者共同体的重要文化自觉。对此，应在全校的民主协商中达成共识，这是大学实现文化自觉的一个重要的实践过程；应通过“章程建设”，明确学校的社会责任和义务，强化公立高等学校坚持公共性的自我约束理念，形成并固化公立高等学校履行公共职能和承担社会责任的自觉意识。</w:t>
      </w:r>
    </w:p>
    <w:p>
      <w:pPr>
        <w:spacing w:after="0" w:line="135" w:lineRule="exact"/>
        <w:rPr>
          <w:color w:val="auto"/>
          <w:sz w:val="20"/>
          <w:szCs w:val="20"/>
          <w:shd w:val="clear" w:color="auto" w:fill="auto"/>
        </w:rPr>
      </w:pPr>
    </w:p>
    <w:p>
      <w:pPr>
        <w:spacing w:after="0" w:line="274" w:lineRule="exact"/>
        <w:ind w:left="4860"/>
        <w:rPr>
          <w:color w:val="auto"/>
          <w:sz w:val="20"/>
          <w:szCs w:val="20"/>
          <w:shd w:val="clear" w:color="auto" w:fill="auto"/>
        </w:rPr>
      </w:pPr>
      <w:r>
        <w:rPr>
          <w:rFonts w:ascii="新宋体" w:hAnsi="新宋体" w:eastAsia="新宋体" w:cs="新宋体"/>
          <w:color w:val="auto"/>
          <w:sz w:val="21"/>
          <w:szCs w:val="21"/>
          <w:shd w:val="clear" w:color="auto" w:fill="auto"/>
        </w:rPr>
        <w:t>（本文摘自《教育研究》</w:t>
      </w:r>
      <w:r>
        <w:rPr>
          <w:rFonts w:ascii="Courier New" w:hAnsi="Courier New" w:eastAsia="Courier New" w:cs="Courier New"/>
          <w:color w:val="auto"/>
          <w:sz w:val="21"/>
          <w:szCs w:val="21"/>
          <w:shd w:val="clear" w:color="auto" w:fill="auto"/>
        </w:rPr>
        <w:t xml:space="preserve">2013 </w:t>
      </w:r>
      <w:r>
        <w:rPr>
          <w:rFonts w:ascii="新宋体" w:hAnsi="新宋体" w:eastAsia="新宋体" w:cs="新宋体"/>
          <w:color w:val="auto"/>
          <w:sz w:val="21"/>
          <w:szCs w:val="21"/>
          <w:shd w:val="clear" w:color="auto" w:fill="auto"/>
        </w:rPr>
        <w:t>年第</w:t>
      </w:r>
      <w:r>
        <w:rPr>
          <w:rFonts w:ascii="Courier New" w:hAnsi="Courier New" w:eastAsia="Courier New" w:cs="Courier New"/>
          <w:color w:val="auto"/>
          <w:sz w:val="21"/>
          <w:szCs w:val="21"/>
          <w:shd w:val="clear" w:color="auto" w:fill="auto"/>
        </w:rPr>
        <w:t xml:space="preserve"> 02 </w:t>
      </w:r>
      <w:r>
        <w:rPr>
          <w:rFonts w:ascii="新宋体" w:hAnsi="新宋体" w:eastAsia="新宋体" w:cs="新宋体"/>
          <w:color w:val="auto"/>
          <w:sz w:val="21"/>
          <w:szCs w:val="21"/>
          <w:shd w:val="clear" w:color="auto" w:fill="auto"/>
        </w:rPr>
        <w:t>期）</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0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13</w:t>
      </w:r>
    </w:p>
    <w:p>
      <w:pPr>
        <w:rPr>
          <w:shd w:val="clear" w:color="auto" w:fill="auto"/>
        </w:rPr>
        <w:sectPr>
          <w:pgSz w:w="11900" w:h="16840"/>
          <w:pgMar w:top="1440" w:right="1304" w:bottom="587" w:left="1420" w:header="0" w:footer="0" w:gutter="0"/>
          <w:cols w:equalWidth="0" w:num="1">
            <w:col w:w="9180"/>
          </w:cols>
        </w:sectPr>
      </w:pPr>
    </w:p>
    <w:p>
      <w:pPr>
        <w:spacing w:after="0" w:line="200" w:lineRule="exact"/>
        <w:rPr>
          <w:color w:val="auto"/>
          <w:sz w:val="20"/>
          <w:szCs w:val="20"/>
          <w:shd w:val="clear" w:color="auto" w:fill="auto"/>
        </w:rPr>
      </w:pPr>
      <w:bookmarkStart w:id="16" w:name="page16"/>
      <w:bookmarkEnd w:id="16"/>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1475105</wp:posOffset>
                </wp:positionH>
                <wp:positionV relativeFrom="page">
                  <wp:posOffset>1409065</wp:posOffset>
                </wp:positionV>
                <wp:extent cx="4749165" cy="415925"/>
                <wp:effectExtent l="0" t="0" r="13335" b="3175"/>
                <wp:wrapNone/>
                <wp:docPr id="5" name="Shape 5"/>
                <wp:cNvGraphicFramePr/>
                <a:graphic xmlns:a="http://schemas.openxmlformats.org/drawingml/2006/main">
                  <a:graphicData uri="http://schemas.microsoft.com/office/word/2010/wordprocessingShape">
                    <wps:wsp>
                      <wps:cNvSpPr/>
                      <wps:spPr>
                        <a:xfrm>
                          <a:off x="0" y="0"/>
                          <a:ext cx="4749165" cy="415925"/>
                        </a:xfrm>
                        <a:prstGeom prst="rect">
                          <a:avLst/>
                        </a:prstGeom>
                        <a:solidFill>
                          <a:srgbClr val="E5E5E5"/>
                        </a:solidFill>
                      </wps:spPr>
                      <wps:bodyPr/>
                    </wps:wsp>
                  </a:graphicData>
                </a:graphic>
              </wp:anchor>
            </w:drawing>
          </mc:Choice>
          <mc:Fallback>
            <w:pict>
              <v:rect id="Shape 5" o:spid="_x0000_s1026" o:spt="1" style="position:absolute;left:0pt;margin-left:116.15pt;margin-top:110.95pt;height:32.75pt;width:373.95pt;mso-position-horizontal-relative:page;mso-position-vertical-relative:page;z-index:-251658240;mso-width-relative:page;mso-height-relative:page;" fillcolor="#E5E5E5" filled="t" stroked="f" coordsize="21600,21600" o:allowincell="f" o:gfxdata="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0dx5i9oAAAALAQAADwAAAAAAAAABACAAAAAiAAAAZHJzL2Rvd25yZXYueG1sUEsBAhQAFAAAAAgA&#10;h07iQOOBw5h4AQAA7AIAAA4AAAAAAAAAAQAgAAAAKQEAAGRycy9lMm9Eb2MueG1sUEsFBgAAAAAG&#10;AAYAWQEAABMFA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42" w:lineRule="exact"/>
        <w:rPr>
          <w:color w:val="auto"/>
          <w:sz w:val="20"/>
          <w:szCs w:val="20"/>
          <w:shd w:val="clear" w:color="auto" w:fill="auto"/>
        </w:rPr>
      </w:pPr>
    </w:p>
    <w:p>
      <w:pPr>
        <w:spacing w:after="0" w:line="502" w:lineRule="exact"/>
        <w:ind w:left="1120"/>
        <w:rPr>
          <w:color w:val="auto"/>
          <w:sz w:val="20"/>
          <w:szCs w:val="20"/>
          <w:shd w:val="clear" w:color="auto" w:fill="auto"/>
        </w:rPr>
      </w:pPr>
      <w:r>
        <w:rPr>
          <w:rFonts w:ascii="宋体" w:hAnsi="宋体" w:eastAsia="宋体" w:cs="宋体"/>
          <w:color w:val="auto"/>
          <w:sz w:val="44"/>
          <w:szCs w:val="44"/>
          <w:shd w:val="clear" w:color="auto" w:fill="auto"/>
        </w:rPr>
        <w:t>公立高校章程中实施机制的规定问题</w:t>
      </w:r>
    </w:p>
    <w:p>
      <w:pPr>
        <w:spacing w:after="0" w:line="285" w:lineRule="exact"/>
        <w:rPr>
          <w:color w:val="auto"/>
          <w:sz w:val="20"/>
          <w:szCs w:val="20"/>
          <w:shd w:val="clear" w:color="auto" w:fill="auto"/>
        </w:rPr>
      </w:pPr>
    </w:p>
    <w:p>
      <w:pPr>
        <w:spacing w:after="0" w:line="417" w:lineRule="exact"/>
        <w:ind w:right="60"/>
        <w:jc w:val="center"/>
        <w:rPr>
          <w:color w:val="auto"/>
          <w:sz w:val="20"/>
          <w:szCs w:val="20"/>
          <w:shd w:val="clear" w:color="auto" w:fill="auto"/>
        </w:rPr>
      </w:pPr>
      <w:r>
        <w:rPr>
          <w:rFonts w:ascii="Courier New" w:hAnsi="Courier New" w:eastAsia="Courier New" w:cs="Courier New"/>
          <w:b/>
          <w:bCs/>
          <w:color w:val="auto"/>
          <w:sz w:val="32"/>
          <w:szCs w:val="32"/>
          <w:shd w:val="clear" w:color="auto" w:fill="auto"/>
        </w:rPr>
        <w:t>——</w:t>
      </w:r>
      <w:r>
        <w:rPr>
          <w:rFonts w:ascii="新宋体" w:hAnsi="新宋体" w:eastAsia="新宋体" w:cs="新宋体"/>
          <w:b/>
          <w:bCs/>
          <w:color w:val="auto"/>
          <w:sz w:val="32"/>
          <w:szCs w:val="32"/>
          <w:shd w:val="clear" w:color="auto" w:fill="auto"/>
        </w:rPr>
        <w:t>基于</w:t>
      </w:r>
      <w:r>
        <w:rPr>
          <w:rFonts w:ascii="Courier New" w:hAnsi="Courier New" w:eastAsia="Courier New" w:cs="Courier New"/>
          <w:b/>
          <w:bCs/>
          <w:color w:val="auto"/>
          <w:sz w:val="32"/>
          <w:szCs w:val="32"/>
          <w:shd w:val="clear" w:color="auto" w:fill="auto"/>
        </w:rPr>
        <w:t xml:space="preserve"> 6 </w:t>
      </w:r>
      <w:r>
        <w:rPr>
          <w:rFonts w:ascii="新宋体" w:hAnsi="新宋体" w:eastAsia="新宋体" w:cs="新宋体"/>
          <w:b/>
          <w:bCs/>
          <w:color w:val="auto"/>
          <w:sz w:val="32"/>
          <w:szCs w:val="32"/>
          <w:shd w:val="clear" w:color="auto" w:fill="auto"/>
        </w:rPr>
        <w:t>校章程文本的实证分析</w:t>
      </w:r>
    </w:p>
    <w:p>
      <w:pPr>
        <w:spacing w:after="0" w:line="200" w:lineRule="exact"/>
        <w:rPr>
          <w:color w:val="auto"/>
          <w:sz w:val="20"/>
          <w:szCs w:val="20"/>
          <w:shd w:val="clear" w:color="auto" w:fill="auto"/>
        </w:rPr>
      </w:pPr>
    </w:p>
    <w:p>
      <w:pPr>
        <w:spacing w:after="0" w:line="252" w:lineRule="exact"/>
        <w:rPr>
          <w:color w:val="auto"/>
          <w:sz w:val="20"/>
          <w:szCs w:val="20"/>
          <w:shd w:val="clear" w:color="auto" w:fill="auto"/>
        </w:rPr>
      </w:pPr>
    </w:p>
    <w:p>
      <w:pPr>
        <w:spacing w:after="0" w:line="320" w:lineRule="exact"/>
        <w:ind w:right="60"/>
        <w:jc w:val="center"/>
        <w:rPr>
          <w:color w:val="auto"/>
          <w:sz w:val="20"/>
          <w:szCs w:val="20"/>
          <w:shd w:val="clear" w:color="auto" w:fill="auto"/>
        </w:rPr>
      </w:pPr>
      <w:r>
        <w:rPr>
          <w:rFonts w:ascii="新宋体" w:hAnsi="新宋体" w:eastAsia="新宋体" w:cs="新宋体"/>
          <w:b/>
          <w:bCs/>
          <w:color w:val="auto"/>
          <w:sz w:val="28"/>
          <w:szCs w:val="28"/>
          <w:shd w:val="clear" w:color="auto" w:fill="auto"/>
        </w:rPr>
        <w:t>谭正航</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82" w:lineRule="exact"/>
        <w:rPr>
          <w:color w:val="auto"/>
          <w:sz w:val="20"/>
          <w:szCs w:val="20"/>
          <w:shd w:val="clear" w:color="auto" w:fill="auto"/>
        </w:rPr>
      </w:pPr>
    </w:p>
    <w:p>
      <w:pPr>
        <w:tabs>
          <w:tab w:val="left" w:pos="920"/>
        </w:tabs>
        <w:spacing w:after="0" w:line="313" w:lineRule="exact"/>
        <w:ind w:left="520"/>
        <w:rPr>
          <w:color w:val="auto"/>
          <w:sz w:val="20"/>
          <w:szCs w:val="20"/>
          <w:shd w:val="clear" w:color="auto" w:fill="auto"/>
        </w:rPr>
      </w:pPr>
      <w:r>
        <w:rPr>
          <w:rFonts w:ascii="黑体" w:hAnsi="黑体" w:eastAsia="黑体" w:cs="黑体"/>
          <w:b/>
          <w:bCs/>
          <w:color w:val="auto"/>
          <w:sz w:val="21"/>
          <w:szCs w:val="21"/>
          <w:shd w:val="clear" w:color="auto" w:fill="auto"/>
        </w:rPr>
        <w:t>摘</w:t>
      </w:r>
      <w:r>
        <w:rPr>
          <w:color w:val="auto"/>
          <w:sz w:val="20"/>
          <w:szCs w:val="20"/>
          <w:shd w:val="clear" w:color="auto" w:fill="auto"/>
        </w:rPr>
        <w:tab/>
      </w:r>
      <w:r>
        <w:rPr>
          <w:rFonts w:ascii="黑体" w:hAnsi="黑体" w:eastAsia="黑体" w:cs="黑体"/>
          <w:b/>
          <w:bCs/>
          <w:color w:val="auto"/>
          <w:sz w:val="21"/>
          <w:szCs w:val="21"/>
          <w:shd w:val="clear" w:color="auto" w:fill="auto"/>
        </w:rPr>
        <w:t>要：</w:t>
      </w:r>
      <w:r>
        <w:rPr>
          <w:rFonts w:ascii="新宋体" w:hAnsi="新宋体" w:eastAsia="新宋体" w:cs="新宋体"/>
          <w:color w:val="auto"/>
          <w:sz w:val="24"/>
          <w:szCs w:val="24"/>
          <w:shd w:val="clear" w:color="auto" w:fill="auto"/>
        </w:rPr>
        <w:t>高校章程连接教育法律法规与高校内部规章制度，是高校内部治理的</w:t>
      </w:r>
      <w:r>
        <w:rPr>
          <w:rFonts w:ascii="Courier New" w:hAnsi="Courier New" w:eastAsia="Courier New" w:cs="Courier New"/>
          <w:color w:val="auto"/>
          <w:sz w:val="24"/>
          <w:szCs w:val="24"/>
          <w:shd w:val="clear" w:color="auto" w:fill="auto"/>
        </w:rPr>
        <w:t>“</w:t>
      </w:r>
      <w:r>
        <w:rPr>
          <w:rFonts w:ascii="新宋体" w:hAnsi="新宋体" w:eastAsia="新宋体" w:cs="新宋体"/>
          <w:color w:val="auto"/>
          <w:sz w:val="24"/>
          <w:szCs w:val="24"/>
          <w:shd w:val="clear" w:color="auto" w:fill="auto"/>
        </w:rPr>
        <w:t>基</w:t>
      </w:r>
    </w:p>
    <w:p>
      <w:pPr>
        <w:spacing w:after="0" w:line="156" w:lineRule="exact"/>
        <w:rPr>
          <w:color w:val="auto"/>
          <w:sz w:val="20"/>
          <w:szCs w:val="20"/>
          <w:shd w:val="clear" w:color="auto" w:fill="auto"/>
        </w:rPr>
      </w:pPr>
    </w:p>
    <w:p>
      <w:pPr>
        <w:spacing w:after="0" w:line="313" w:lineRule="exact"/>
        <w:rPr>
          <w:color w:val="auto"/>
          <w:sz w:val="20"/>
          <w:szCs w:val="20"/>
          <w:shd w:val="clear" w:color="auto" w:fill="auto"/>
        </w:rPr>
      </w:pPr>
      <w:r>
        <w:rPr>
          <w:rFonts w:ascii="新宋体" w:hAnsi="新宋体" w:eastAsia="新宋体" w:cs="新宋体"/>
          <w:color w:val="auto"/>
          <w:sz w:val="24"/>
          <w:szCs w:val="24"/>
          <w:shd w:val="clear" w:color="auto" w:fill="auto"/>
        </w:rPr>
        <w:t>本法</w:t>
      </w:r>
      <w:r>
        <w:rPr>
          <w:rFonts w:ascii="Courier New" w:hAnsi="Courier New" w:eastAsia="Courier New" w:cs="Courier New"/>
          <w:color w:val="auto"/>
          <w:sz w:val="24"/>
          <w:szCs w:val="24"/>
          <w:shd w:val="clear" w:color="auto" w:fill="auto"/>
        </w:rPr>
        <w:t>”</w:t>
      </w:r>
      <w:r>
        <w:rPr>
          <w:rFonts w:ascii="新宋体" w:hAnsi="新宋体" w:eastAsia="新宋体" w:cs="新宋体"/>
          <w:color w:val="auto"/>
          <w:sz w:val="24"/>
          <w:szCs w:val="24"/>
          <w:shd w:val="clear" w:color="auto" w:fill="auto"/>
        </w:rPr>
        <w:t>。高校章程的实施是高校章程作用发挥的关键所在。目前，我国大部分公立高校</w:t>
      </w:r>
    </w:p>
    <w:p>
      <w:pPr>
        <w:spacing w:after="0" w:line="206" w:lineRule="exact"/>
        <w:rPr>
          <w:color w:val="auto"/>
          <w:sz w:val="20"/>
          <w:szCs w:val="20"/>
          <w:shd w:val="clear" w:color="auto" w:fill="auto"/>
        </w:rPr>
      </w:pPr>
    </w:p>
    <w:p>
      <w:pPr>
        <w:spacing w:after="0" w:line="263" w:lineRule="exact"/>
        <w:rPr>
          <w:color w:val="auto"/>
          <w:sz w:val="20"/>
          <w:szCs w:val="20"/>
          <w:shd w:val="clear" w:color="auto" w:fill="auto"/>
        </w:rPr>
      </w:pPr>
      <w:r>
        <w:rPr>
          <w:rFonts w:ascii="新宋体" w:hAnsi="新宋体" w:eastAsia="新宋体" w:cs="新宋体"/>
          <w:color w:val="auto"/>
          <w:sz w:val="23"/>
          <w:szCs w:val="23"/>
          <w:shd w:val="clear" w:color="auto" w:fill="auto"/>
        </w:rPr>
        <w:t>章程文本对实施机制进行了初步规定，但在实施保障机关、实施争议解决、实施程序上</w:t>
      </w:r>
    </w:p>
    <w:p>
      <w:pPr>
        <w:spacing w:after="0" w:line="206" w:lineRule="exact"/>
        <w:rPr>
          <w:color w:val="auto"/>
          <w:sz w:val="20"/>
          <w:szCs w:val="20"/>
          <w:shd w:val="clear" w:color="auto" w:fill="auto"/>
        </w:rPr>
      </w:pPr>
    </w:p>
    <w:p>
      <w:pPr>
        <w:spacing w:after="0" w:line="263" w:lineRule="exact"/>
        <w:rPr>
          <w:color w:val="auto"/>
          <w:sz w:val="20"/>
          <w:szCs w:val="20"/>
          <w:shd w:val="clear" w:color="auto" w:fill="auto"/>
        </w:rPr>
      </w:pPr>
      <w:r>
        <w:rPr>
          <w:rFonts w:ascii="新宋体" w:hAnsi="新宋体" w:eastAsia="新宋体" w:cs="新宋体"/>
          <w:color w:val="auto"/>
          <w:sz w:val="23"/>
          <w:szCs w:val="23"/>
          <w:shd w:val="clear" w:color="auto" w:fill="auto"/>
        </w:rPr>
        <w:t>存在不足之处，实施后果机制等的规定，从而制约到其有效实施与作用发挥。因此，我</w:t>
      </w:r>
    </w:p>
    <w:p>
      <w:pPr>
        <w:spacing w:after="0" w:line="206" w:lineRule="exact"/>
        <w:rPr>
          <w:color w:val="auto"/>
          <w:sz w:val="20"/>
          <w:szCs w:val="20"/>
          <w:shd w:val="clear" w:color="auto" w:fill="auto"/>
        </w:rPr>
      </w:pPr>
    </w:p>
    <w:p>
      <w:pPr>
        <w:spacing w:after="0" w:line="263" w:lineRule="exact"/>
        <w:rPr>
          <w:color w:val="auto"/>
          <w:sz w:val="20"/>
          <w:szCs w:val="20"/>
          <w:shd w:val="clear" w:color="auto" w:fill="auto"/>
        </w:rPr>
      </w:pPr>
      <w:r>
        <w:rPr>
          <w:rFonts w:ascii="新宋体" w:hAnsi="新宋体" w:eastAsia="新宋体" w:cs="新宋体"/>
          <w:color w:val="auto"/>
          <w:sz w:val="23"/>
          <w:szCs w:val="23"/>
          <w:shd w:val="clear" w:color="auto" w:fill="auto"/>
        </w:rPr>
        <w:t>国应采取有效措施完善公立高校章程文本的实施机制规定，以增强公立高校章程的法律</w:t>
      </w:r>
    </w:p>
    <w:p>
      <w:pPr>
        <w:spacing w:after="0" w:line="194" w:lineRule="exact"/>
        <w:rPr>
          <w:color w:val="auto"/>
          <w:sz w:val="20"/>
          <w:szCs w:val="20"/>
          <w:shd w:val="clear" w:color="auto" w:fill="auto"/>
        </w:rPr>
      </w:pPr>
    </w:p>
    <w:p>
      <w:pPr>
        <w:spacing w:after="0" w:line="274" w:lineRule="exact"/>
        <w:rPr>
          <w:color w:val="auto"/>
          <w:sz w:val="20"/>
          <w:szCs w:val="20"/>
          <w:shd w:val="clear" w:color="auto" w:fill="auto"/>
        </w:rPr>
      </w:pPr>
      <w:r>
        <w:rPr>
          <w:rFonts w:ascii="新宋体" w:hAnsi="新宋体" w:eastAsia="新宋体" w:cs="新宋体"/>
          <w:color w:val="auto"/>
          <w:sz w:val="24"/>
          <w:szCs w:val="24"/>
          <w:shd w:val="clear" w:color="auto" w:fill="auto"/>
        </w:rPr>
        <w:t>品性，提升其法律效力，推进现代大学的建设。</w:t>
      </w:r>
    </w:p>
    <w:p>
      <w:pPr>
        <w:spacing w:after="0" w:line="130" w:lineRule="exact"/>
        <w:rPr>
          <w:color w:val="auto"/>
          <w:sz w:val="20"/>
          <w:szCs w:val="20"/>
          <w:shd w:val="clear" w:color="auto" w:fill="auto"/>
        </w:rPr>
      </w:pPr>
    </w:p>
    <w:p>
      <w:pPr>
        <w:spacing w:after="0" w:line="308" w:lineRule="exact"/>
        <w:ind w:left="420"/>
        <w:rPr>
          <w:color w:val="auto"/>
          <w:sz w:val="20"/>
          <w:szCs w:val="20"/>
          <w:shd w:val="clear" w:color="auto" w:fill="auto"/>
        </w:rPr>
      </w:pPr>
      <w:r>
        <w:rPr>
          <w:rFonts w:ascii="黑体" w:hAnsi="黑体" w:eastAsia="黑体" w:cs="黑体"/>
          <w:b/>
          <w:bCs/>
          <w:color w:val="auto"/>
          <w:sz w:val="21"/>
          <w:szCs w:val="21"/>
          <w:shd w:val="clear" w:color="auto" w:fill="auto"/>
        </w:rPr>
        <w:t>关键词</w:t>
      </w:r>
      <w:r>
        <w:rPr>
          <w:rFonts w:ascii="黑体" w:hAnsi="黑体" w:eastAsia="黑体" w:cs="黑体"/>
          <w:b/>
          <w:bCs/>
          <w:color w:val="auto"/>
          <w:sz w:val="27"/>
          <w:szCs w:val="27"/>
          <w:shd w:val="clear" w:color="auto" w:fill="auto"/>
        </w:rPr>
        <w:t>：</w:t>
      </w:r>
      <w:r>
        <w:rPr>
          <w:rFonts w:ascii="新宋体" w:hAnsi="新宋体" w:eastAsia="新宋体" w:cs="新宋体"/>
          <w:color w:val="auto"/>
          <w:sz w:val="24"/>
          <w:szCs w:val="24"/>
          <w:shd w:val="clear" w:color="auto" w:fill="auto"/>
        </w:rPr>
        <w:t>公立高校；高校章程；实施机制规定；实证分析</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58" w:lineRule="exact"/>
        <w:rPr>
          <w:color w:val="auto"/>
          <w:sz w:val="20"/>
          <w:szCs w:val="20"/>
          <w:shd w:val="clear" w:color="auto" w:fill="auto"/>
        </w:rPr>
      </w:pPr>
    </w:p>
    <w:p>
      <w:pPr>
        <w:spacing w:after="0" w:line="451"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高校章程连接教育法律法规与高校内部规章制度，是高校内部治理的“基本法”0 2010 年，《国家中长期教育改革和发展规划纲要（2010 一 2020 年）》提出了“各类高校应依法制定章程，依照章程规定管理学校”的战略目标。2011 年，教育部制定《高校章程制定暂行办法》以规范与推进高校章程建设。在此时代背景下，许多高校特别是公立高校加大了章程建设步伐。目前，大部分部属公立高校已通过教育部核准，一些地方公立高校章程也已通过省级教育行政部门核准并正在实施。高校章程的实施是高校章程作用发挥的关键所在。而公立高校章程实施以科学、完善的实施保障机制为基础。当前，我国公立高校章程文本普遍存在对实施机制缺乏规定或不完善的问题。研究成果对高校章程实施机制问题关注较少，缺乏对章程实施机制规定的实证研究。基于此，本文选取了北京大学、中国人民大学、吉林大学、东南大学 4 所部属重点公立高校的章程以及吉首大学和湖南师范大学 2 所地方公立高校的章程作为实证分析样本，系统研究公立高校章程实施机制规定现状与问题。以上高校章程均已通过教育行政部门核准并正在实施，具有一定代表性和典型性。因此，对这些章程文本实施机制规定的研究，将为我国公立高校章程实施机制规定的完善提供有益启发。</w:t>
      </w:r>
    </w:p>
    <w:p>
      <w:pPr>
        <w:spacing w:after="0" w:line="287"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14</w:t>
      </w:r>
    </w:p>
    <w:p>
      <w:pPr>
        <w:rPr>
          <w:shd w:val="clear" w:color="auto" w:fill="auto"/>
        </w:rPr>
        <w:sectPr>
          <w:pgSz w:w="11900" w:h="16840"/>
          <w:pgMar w:top="1440" w:right="1364" w:bottom="587" w:left="1420" w:header="0" w:footer="0" w:gutter="0"/>
          <w:cols w:equalWidth="0" w:num="1">
            <w:col w:w="9120"/>
          </w:cols>
        </w:sectPr>
      </w:pPr>
    </w:p>
    <w:p>
      <w:pPr>
        <w:spacing w:after="0" w:line="274" w:lineRule="exact"/>
        <w:ind w:left="480"/>
        <w:rPr>
          <w:color w:val="auto"/>
          <w:sz w:val="20"/>
          <w:szCs w:val="20"/>
          <w:shd w:val="clear" w:color="auto" w:fill="auto"/>
        </w:rPr>
      </w:pPr>
      <w:bookmarkStart w:id="17" w:name="page17"/>
      <w:bookmarkEnd w:id="17"/>
      <w:r>
        <w:rPr>
          <w:rFonts w:ascii="黑体" w:hAnsi="黑体" w:eastAsia="黑体" w:cs="黑体"/>
          <w:b/>
          <w:bCs/>
          <w:color w:val="auto"/>
          <w:sz w:val="24"/>
          <w:szCs w:val="24"/>
          <w:shd w:val="clear" w:color="auto" w:fill="auto"/>
        </w:rPr>
        <w:t>一、公立高校章程实施与章程实施机制</w:t>
      </w:r>
    </w:p>
    <w:p>
      <w:pPr>
        <w:spacing w:after="0" w:line="201"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（一）公立高校章程实施需要实施机制保障</w:t>
      </w:r>
    </w:p>
    <w:p>
      <w:pPr>
        <w:spacing w:after="0" w:line="217" w:lineRule="exact"/>
        <w:rPr>
          <w:color w:val="auto"/>
          <w:sz w:val="20"/>
          <w:szCs w:val="20"/>
          <w:shd w:val="clear" w:color="auto" w:fill="auto"/>
        </w:rPr>
      </w:pPr>
    </w:p>
    <w:p>
      <w:pPr>
        <w:spacing w:after="0" w:line="470" w:lineRule="exact"/>
        <w:ind w:right="120"/>
        <w:jc w:val="both"/>
        <w:rPr>
          <w:color w:val="auto"/>
          <w:sz w:val="20"/>
          <w:szCs w:val="20"/>
          <w:shd w:val="clear" w:color="auto" w:fill="auto"/>
        </w:rPr>
      </w:pPr>
      <w:r>
        <w:rPr>
          <w:rFonts w:ascii="宋体" w:hAnsi="宋体" w:eastAsia="宋体" w:cs="宋体"/>
          <w:color w:val="auto"/>
          <w:sz w:val="24"/>
          <w:szCs w:val="24"/>
          <w:shd w:val="clear" w:color="auto" w:fill="auto"/>
        </w:rPr>
        <w:t>公立高校章程实施是公立高校章程在高校治理中的落实与实现，也就是其在实际上调整一定社会关系并发挥效力的过程。章程实施是发挥高校章程作用的关键环节，也是高校章程制定的目标所在。公立高校章程实施机制是指其实施系统中各要素的相互关系及对实施系统所起的作用，主要指实施系统构成要素间相互作用的方式和过程。</w:t>
      </w:r>
    </w:p>
    <w:p>
      <w:pPr>
        <w:spacing w:after="0" w:line="200" w:lineRule="exact"/>
        <w:rPr>
          <w:color w:val="auto"/>
          <w:sz w:val="20"/>
          <w:szCs w:val="20"/>
          <w:shd w:val="clear" w:color="auto" w:fill="auto"/>
        </w:rPr>
      </w:pPr>
    </w:p>
    <w:p>
      <w:pPr>
        <w:spacing w:after="0" w:line="254" w:lineRule="exact"/>
        <w:rPr>
          <w:color w:val="auto"/>
          <w:sz w:val="20"/>
          <w:szCs w:val="20"/>
          <w:shd w:val="clear" w:color="auto" w:fill="auto"/>
        </w:rPr>
      </w:pPr>
    </w:p>
    <w:p>
      <w:pPr>
        <w:spacing w:after="0" w:line="442" w:lineRule="exact"/>
        <w:ind w:right="20" w:firstLine="496"/>
        <w:jc w:val="both"/>
        <w:rPr>
          <w:color w:val="auto"/>
          <w:sz w:val="20"/>
          <w:szCs w:val="20"/>
          <w:shd w:val="clear" w:color="auto" w:fill="auto"/>
        </w:rPr>
      </w:pPr>
      <w:r>
        <w:rPr>
          <w:rFonts w:ascii="宋体" w:hAnsi="宋体" w:eastAsia="宋体" w:cs="宋体"/>
          <w:color w:val="auto"/>
          <w:sz w:val="24"/>
          <w:szCs w:val="24"/>
          <w:shd w:val="clear" w:color="auto" w:fill="auto"/>
        </w:rPr>
        <w:t>公立高校章程实施离不开实施机制的保障:第一，公立高校章程实施机制本身就是章程施的核心内容和主要构成，是实现高校章程关系主体权利义务的基础。第二，公立高校章程实施机制为章程实施提供依据。实施机制对高校章程实施机构的职权与职责，实施程序、争议解决机制及实施后果等进行规定，从而为高校章程实施提供基本依据。第三，公立高校章程实施机制为章程实施提供制度保障。高校章程对实施主体、程序、责任及措施等进行规定，为激励约束高校章程关系主体行为，解决章程实施争议，提高章程实施效果，实现章程目标提供基本保障。公立高校章程文本对实施机制的规范，是推进章程有效实施的基础与保障。为此，公立高校章程文本应对实施机制进行具体规定。</w:t>
      </w:r>
    </w:p>
    <w:p>
      <w:pPr>
        <w:spacing w:after="0" w:line="206"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（二）公立高校章程实施机制构成</w:t>
      </w:r>
    </w:p>
    <w:p>
      <w:pPr>
        <w:spacing w:after="0" w:line="217" w:lineRule="exact"/>
        <w:rPr>
          <w:color w:val="auto"/>
          <w:sz w:val="20"/>
          <w:szCs w:val="20"/>
          <w:shd w:val="clear" w:color="auto" w:fill="auto"/>
        </w:rPr>
      </w:pPr>
    </w:p>
    <w:p>
      <w:pPr>
        <w:spacing w:after="0" w:line="442"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公立高校章程实施机制包括外部实施机制和内部实施机制。外部实施机制是政府、社会推进公立高校章程实施的保障机制的总称。内部实施机制是公立高校推进章程实施的保障机制的总称。构建内外协同的章程实施机制，是实现公立高校章程制定目标的核心所在。教育部《高校章程制定暂行办法》第三十条规定：“高等学校应当指定专门机构监督章程的执行情况，依据章程审查学校内部规章制度、规范性文件，受理对违反章程的管理行为、办学活动的举报和投诉。”公立高校章程内部实施机制应主要由章程文本进行规定。由于本文旨在实证分析公立高校章程实施机制的规定基础，以提出完善章程文本的对策，故只研究公立高校章程内部实施机制问题，不涉及章程外部实施机制问题。公立高校章程内部实施机制主要包括以下构成要素：</w:t>
      </w:r>
    </w:p>
    <w:p>
      <w:pPr>
        <w:spacing w:after="0" w:line="228" w:lineRule="exact"/>
        <w:rPr>
          <w:color w:val="auto"/>
          <w:sz w:val="20"/>
          <w:szCs w:val="20"/>
          <w:shd w:val="clear" w:color="auto" w:fill="auto"/>
        </w:rPr>
      </w:pPr>
    </w:p>
    <w:p>
      <w:pPr>
        <w:spacing w:after="0" w:line="478" w:lineRule="exact"/>
        <w:ind w:firstLine="480"/>
        <w:rPr>
          <w:color w:val="auto"/>
          <w:sz w:val="20"/>
          <w:szCs w:val="20"/>
          <w:shd w:val="clear" w:color="auto" w:fill="auto"/>
        </w:rPr>
      </w:pPr>
      <w:r>
        <w:rPr>
          <w:rFonts w:ascii="宋体" w:hAnsi="宋体" w:eastAsia="宋体" w:cs="宋体"/>
          <w:color w:val="auto"/>
          <w:sz w:val="24"/>
          <w:szCs w:val="24"/>
          <w:shd w:val="clear" w:color="auto" w:fill="auto"/>
        </w:rPr>
        <w:t>1.实施机关。实施机关是负责公立高校章程实施适用、评价、监督等的内设组织机构。公立高校章程实施机关对于制衡高校行政权力、学术权力，保护师生权利，推进章程的有效实施十分重要。公立高校章程实施机关应具有权威性、专门性、综合性。</w:t>
      </w:r>
    </w:p>
    <w:p>
      <w:pPr>
        <w:spacing w:after="0" w:line="200" w:lineRule="exact"/>
        <w:rPr>
          <w:color w:val="auto"/>
          <w:sz w:val="20"/>
          <w:szCs w:val="20"/>
          <w:shd w:val="clear" w:color="auto" w:fill="auto"/>
        </w:rPr>
      </w:pPr>
    </w:p>
    <w:p>
      <w:pPr>
        <w:spacing w:after="0" w:line="256"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15</w:t>
      </w:r>
    </w:p>
    <w:p>
      <w:pPr>
        <w:rPr>
          <w:shd w:val="clear" w:color="auto" w:fill="auto"/>
        </w:rPr>
        <w:sectPr>
          <w:pgSz w:w="11900" w:h="16840"/>
          <w:pgMar w:top="1421" w:right="1304" w:bottom="587" w:left="1420" w:header="0" w:footer="0" w:gutter="0"/>
          <w:cols w:equalWidth="0" w:num="1">
            <w:col w:w="9180"/>
          </w:cols>
        </w:sectPr>
      </w:pPr>
    </w:p>
    <w:p>
      <w:pPr>
        <w:spacing w:after="0" w:line="13" w:lineRule="exact"/>
        <w:rPr>
          <w:color w:val="auto"/>
          <w:sz w:val="20"/>
          <w:szCs w:val="20"/>
          <w:shd w:val="clear" w:color="auto" w:fill="auto"/>
        </w:rPr>
      </w:pPr>
      <w:bookmarkStart w:id="18" w:name="page18"/>
      <w:bookmarkEnd w:id="18"/>
    </w:p>
    <w:p>
      <w:pPr>
        <w:spacing w:after="0" w:line="410"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2.争议解决机制。在章程实施过程中，公立高校与政府、高校内部机构、教职工、学生等主体及相互之间会产生争议。如何通过有效途径解决争议，促进章程实施，是公立高校章程实施机制需要解决的重要问题。公立高校章程实施争议解决机制主要包括协商、调解、申诉、诉讼等。</w:t>
      </w:r>
    </w:p>
    <w:p>
      <w:pPr>
        <w:spacing w:after="0" w:line="229" w:lineRule="exact"/>
        <w:rPr>
          <w:color w:val="auto"/>
          <w:sz w:val="20"/>
          <w:szCs w:val="20"/>
          <w:shd w:val="clear" w:color="auto" w:fill="auto"/>
        </w:rPr>
      </w:pPr>
    </w:p>
    <w:p>
      <w:pPr>
        <w:spacing w:after="0" w:line="421" w:lineRule="exact"/>
        <w:ind w:firstLine="484"/>
        <w:jc w:val="both"/>
        <w:rPr>
          <w:color w:val="auto"/>
          <w:sz w:val="20"/>
          <w:szCs w:val="20"/>
          <w:shd w:val="clear" w:color="auto" w:fill="auto"/>
        </w:rPr>
      </w:pPr>
      <w:r>
        <w:rPr>
          <w:rFonts w:ascii="宋体" w:hAnsi="宋体" w:eastAsia="宋体" w:cs="宋体"/>
          <w:color w:val="auto"/>
          <w:sz w:val="24"/>
          <w:szCs w:val="24"/>
          <w:shd w:val="clear" w:color="auto" w:fill="auto"/>
        </w:rPr>
        <w:t>3.程序机制。实施程序是对高校章程实施的程与步骤的规定。“程序能使制度获具其存在的合法性与正当性，能使相关法益主体亲眼见证正义的实现；现代行政法治是通过程序实现的法治，是以程序抗辩、规制行政权滥用的法治。公立高校章程对实施程序机制的规定使程序具有了法律的强制性、稳定性和明确性特征，从而保障“程序正义”的实现。实施程序机制主要包括高校章程适用、监督及修改等程序机制。</w:t>
      </w:r>
    </w:p>
    <w:p>
      <w:pPr>
        <w:spacing w:after="0" w:line="230" w:lineRule="exact"/>
        <w:rPr>
          <w:color w:val="auto"/>
          <w:sz w:val="20"/>
          <w:szCs w:val="20"/>
          <w:shd w:val="clear" w:color="auto" w:fill="auto"/>
        </w:rPr>
      </w:pPr>
    </w:p>
    <w:p>
      <w:pPr>
        <w:spacing w:after="0" w:line="421"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4.后果机制。章程实施后果机制指章程遵守与适用的评价机制，指对章程实施的嘉奖与对违反章程行为予以否定性评价。对公立高校章程实施的嘉奖指对章程遵守及维护行为给予表彰、奖励、授予名誉称号等。对公立高校章程实施的否定性评价主要包括对违反章程规定的学校规章制度宣布无效或予以撤销，对违反章程的权力行使者进行问责与处理，对违反章程规范的师生进行处罚等。</w:t>
      </w:r>
    </w:p>
    <w:p>
      <w:pPr>
        <w:spacing w:after="0" w:line="199"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二、公立高校章程实施机制规定现状与问题</w:t>
      </w:r>
    </w:p>
    <w:p>
      <w:pPr>
        <w:spacing w:after="0" w:line="202" w:lineRule="exact"/>
        <w:rPr>
          <w:color w:val="auto"/>
          <w:sz w:val="20"/>
          <w:szCs w:val="20"/>
          <w:shd w:val="clear" w:color="auto" w:fill="auto"/>
        </w:rPr>
      </w:pPr>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为具体把握公立高校章程文本的实施机制现状与问题，笔者按照实施机关、争议解</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决、实施程序、实施后果对 6 校章程实施机制规定进行系统分析。</w:t>
      </w:r>
    </w:p>
    <w:p>
      <w:pPr>
        <w:spacing w:after="0" w:line="20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（一）实施机关规定</w:t>
      </w:r>
    </w:p>
    <w:p>
      <w:pPr>
        <w:spacing w:after="0" w:line="217" w:lineRule="exact"/>
        <w:rPr>
          <w:color w:val="auto"/>
          <w:sz w:val="20"/>
          <w:szCs w:val="20"/>
          <w:shd w:val="clear" w:color="auto" w:fill="auto"/>
        </w:rPr>
      </w:pPr>
    </w:p>
    <w:p>
      <w:pPr>
        <w:spacing w:after="0" w:line="448"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目前，从总体来看，大部分高校章程并没有建立专门的章程实施机关来保障章程实施。大部分公立高校章程只规定了教代会或其执行委员会对章程落实与实施的监督权。如吉首大学章程第 58 条规定了教代会监督章程落实的权力。中国人民大学章程第 34 条规定了教代会监督学校章程、规章制度和决策落实的权力。北京大学章程第 31 条规定了教代会监督学校章程、规章制度和决策的落实，提出整改意见和建议的权力。这样规定有利于彰显教职工的主体地位和教代会的民主监督功能，推进高校章程实施。但是，高校教代会对章程的监督仅为民主监督，而不是章程实施机关的适用监督。以 6 校章程文本为例（见表 1），只有北京大学与吉首大学章程明确了章程实施机关及职权。吉首大学章程将教职工代表常设机构作为章程实施机关规定具有一定的创新性，但作为民主监督机关，其难以承担适用章程规范、监督章程实施及落实章程实施后果等重任。北京大学设立章程委员会作为章程实施机关，提高了章程实施机关的权威性与专业性，是保障章程实施的重要制度创新。</w:t>
      </w:r>
    </w:p>
    <w:p>
      <w:pPr>
        <w:spacing w:after="0" w:line="259"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16</w:t>
      </w:r>
    </w:p>
    <w:p>
      <w:pPr>
        <w:rPr>
          <w:shd w:val="clear" w:color="auto" w:fill="auto"/>
        </w:rPr>
        <w:sectPr>
          <w:pgSz w:w="11900" w:h="16840"/>
          <w:pgMar w:top="1440" w:right="1364" w:bottom="587" w:left="1420" w:header="0" w:footer="0" w:gutter="0"/>
          <w:cols w:equalWidth="0" w:num="1">
            <w:col w:w="9120"/>
          </w:cols>
        </w:sectPr>
      </w:pPr>
    </w:p>
    <w:p>
      <w:pPr>
        <w:tabs>
          <w:tab w:val="left" w:pos="2680"/>
        </w:tabs>
        <w:spacing w:after="0" w:line="240" w:lineRule="exact"/>
        <w:ind w:left="2120"/>
        <w:rPr>
          <w:color w:val="auto"/>
          <w:sz w:val="20"/>
          <w:szCs w:val="20"/>
          <w:shd w:val="clear" w:color="auto" w:fill="auto"/>
        </w:rPr>
      </w:pPr>
      <w:bookmarkStart w:id="19" w:name="page19"/>
      <w:bookmarkEnd w:id="19"/>
      <w:r>
        <w:rPr>
          <w:rFonts w:ascii="黑体" w:hAnsi="黑体" w:eastAsia="黑体" w:cs="黑体"/>
          <w:b/>
          <w:bCs/>
          <w:color w:val="auto"/>
          <w:sz w:val="21"/>
          <w:szCs w:val="21"/>
          <w:shd w:val="clear" w:color="auto" w:fill="auto"/>
        </w:rPr>
        <w:t>表 1</w:t>
      </w:r>
      <w:r>
        <w:rPr>
          <w:color w:val="auto"/>
          <w:sz w:val="20"/>
          <w:szCs w:val="20"/>
          <w:shd w:val="clear" w:color="auto" w:fill="auto"/>
        </w:rPr>
        <w:tab/>
      </w:r>
      <w:r>
        <w:rPr>
          <w:rFonts w:ascii="黑体" w:hAnsi="黑体" w:eastAsia="黑体" w:cs="黑体"/>
          <w:b/>
          <w:bCs/>
          <w:color w:val="auto"/>
          <w:sz w:val="20"/>
          <w:szCs w:val="20"/>
          <w:shd w:val="clear" w:color="auto" w:fill="auto"/>
        </w:rPr>
        <w:t>6 所公立高校章程中关于高校章程实施机关的规定</w:t>
      </w:r>
    </w:p>
    <w:p>
      <w:pPr>
        <w:spacing w:after="0" w:line="145" w:lineRule="exact"/>
        <w:rPr>
          <w:color w:val="auto"/>
          <w:sz w:val="20"/>
          <w:szCs w:val="20"/>
          <w:shd w:val="clear" w:color="auto" w:fill="auto"/>
        </w:rPr>
      </w:pPr>
    </w:p>
    <w:tbl>
      <w:tblPr>
        <w:tblStyle w:val="3"/>
        <w:tblW w:w="9360" w:type="dxa"/>
        <w:tblInd w:w="70" w:type="dxa"/>
        <w:tblLayout w:type="fixed"/>
        <w:tblCellMar>
          <w:top w:w="0" w:type="dxa"/>
          <w:left w:w="0" w:type="dxa"/>
          <w:bottom w:w="0" w:type="dxa"/>
          <w:right w:w="0" w:type="dxa"/>
        </w:tblCellMar>
      </w:tblPr>
      <w:tblGrid>
        <w:gridCol w:w="1920"/>
        <w:gridCol w:w="1640"/>
        <w:gridCol w:w="4260"/>
        <w:gridCol w:w="1180"/>
        <w:gridCol w:w="360"/>
      </w:tblGrid>
      <w:tr>
        <w:tblPrEx>
          <w:tblLayout w:type="fixed"/>
          <w:tblCellMar>
            <w:top w:w="0" w:type="dxa"/>
            <w:left w:w="0" w:type="dxa"/>
            <w:bottom w:w="0" w:type="dxa"/>
            <w:right w:w="0" w:type="dxa"/>
          </w:tblCellMar>
        </w:tblPrEx>
        <w:trPr>
          <w:trHeight w:val="347" w:hRule="atLeast"/>
        </w:trPr>
        <w:tc>
          <w:tcPr>
            <w:tcW w:w="1920" w:type="dxa"/>
            <w:tcBorders>
              <w:top w:val="single" w:color="auto" w:sz="8" w:space="0"/>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7"/>
                <w:sz w:val="22"/>
                <w:szCs w:val="22"/>
                <w:shd w:val="clear" w:color="auto" w:fill="auto"/>
              </w:rPr>
              <w:t>高校章程</w:t>
            </w:r>
          </w:p>
        </w:tc>
        <w:tc>
          <w:tcPr>
            <w:tcW w:w="164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实施机关</w:t>
            </w:r>
          </w:p>
        </w:tc>
        <w:tc>
          <w:tcPr>
            <w:tcW w:w="426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规定机关的主要职权</w:t>
            </w:r>
          </w:p>
        </w:tc>
        <w:tc>
          <w:tcPr>
            <w:tcW w:w="118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规定条款</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2"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164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4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18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89" w:hRule="atLeast"/>
        </w:trPr>
        <w:tc>
          <w:tcPr>
            <w:tcW w:w="192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北京大学章程</w:t>
            </w:r>
          </w:p>
        </w:tc>
        <w:tc>
          <w:tcPr>
            <w:tcW w:w="164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章程委员会</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解释权、制定章程实施细则权、监督章程执</w:t>
            </w:r>
          </w:p>
        </w:tc>
        <w:tc>
          <w:tcPr>
            <w:tcW w:w="11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86"/>
                <w:sz w:val="22"/>
                <w:szCs w:val="22"/>
                <w:shd w:val="clear" w:color="auto" w:fill="auto"/>
              </w:rPr>
              <w:t>第 55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92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1640" w:type="dxa"/>
            <w:vMerge w:val="continue"/>
            <w:tcBorders>
              <w:right w:val="single" w:color="auto" w:sz="8" w:space="0"/>
            </w:tcBorders>
            <w:vAlign w:val="bottom"/>
          </w:tcPr>
          <w:p>
            <w:pPr>
              <w:spacing w:after="0"/>
              <w:rPr>
                <w:color w:val="auto"/>
                <w:sz w:val="13"/>
                <w:szCs w:val="13"/>
                <w:shd w:val="clear" w:color="auto" w:fill="auto"/>
              </w:rPr>
            </w:pPr>
          </w:p>
        </w:tc>
        <w:tc>
          <w:tcPr>
            <w:tcW w:w="426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行、审查内部制度权、修订动议、起草权</w:t>
            </w:r>
          </w:p>
        </w:tc>
        <w:tc>
          <w:tcPr>
            <w:tcW w:w="118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92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640" w:type="dxa"/>
            <w:tcBorders>
              <w:right w:val="single" w:color="auto" w:sz="8" w:space="0"/>
            </w:tcBorders>
            <w:vAlign w:val="bottom"/>
          </w:tcPr>
          <w:p>
            <w:pPr>
              <w:spacing w:after="0"/>
              <w:rPr>
                <w:color w:val="auto"/>
                <w:sz w:val="13"/>
                <w:szCs w:val="13"/>
                <w:shd w:val="clear" w:color="auto" w:fill="auto"/>
              </w:rPr>
            </w:pPr>
          </w:p>
        </w:tc>
        <w:tc>
          <w:tcPr>
            <w:tcW w:w="4260" w:type="dxa"/>
            <w:vMerge w:val="continue"/>
            <w:tcBorders>
              <w:right w:val="single" w:color="auto" w:sz="8" w:space="0"/>
            </w:tcBorders>
            <w:vAlign w:val="bottom"/>
          </w:tcPr>
          <w:p>
            <w:pPr>
              <w:spacing w:after="0"/>
              <w:rPr>
                <w:color w:val="auto"/>
                <w:sz w:val="13"/>
                <w:szCs w:val="13"/>
                <w:shd w:val="clear" w:color="auto" w:fill="auto"/>
              </w:rPr>
            </w:pPr>
          </w:p>
        </w:tc>
        <w:tc>
          <w:tcPr>
            <w:tcW w:w="118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85"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6"/>
                <w:szCs w:val="16"/>
                <w:shd w:val="clear" w:color="auto" w:fill="auto"/>
              </w:rPr>
            </w:pPr>
          </w:p>
        </w:tc>
        <w:tc>
          <w:tcPr>
            <w:tcW w:w="164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426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118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7" w:hRule="atLeast"/>
        </w:trPr>
        <w:tc>
          <w:tcPr>
            <w:tcW w:w="1920" w:type="dxa"/>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8"/>
                <w:sz w:val="22"/>
                <w:szCs w:val="22"/>
                <w:shd w:val="clear" w:color="auto" w:fill="auto"/>
              </w:rPr>
              <w:t>中国人民大学章程</w:t>
            </w:r>
          </w:p>
        </w:tc>
        <w:tc>
          <w:tcPr>
            <w:tcW w:w="164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11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0" w:type="dxa"/>
            <w:vAlign w:val="bottom"/>
          </w:tcPr>
          <w:p>
            <w:pPr>
              <w:spacing w:after="0"/>
              <w:rPr>
                <w:color w:val="auto"/>
                <w:sz w:val="1"/>
                <w:szCs w:val="1"/>
                <w:shd w:val="clear" w:color="auto" w:fill="auto"/>
              </w:rPr>
            </w:pPr>
          </w:p>
        </w:tc>
      </w:tr>
      <w:tr>
        <w:tblPrEx>
          <w:tblLayout w:type="fixed"/>
        </w:tblPrEx>
        <w:trPr>
          <w:trHeight w:val="122"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164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4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18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6" w:hRule="atLeast"/>
        </w:trPr>
        <w:tc>
          <w:tcPr>
            <w:tcW w:w="1920" w:type="dxa"/>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吉林大学章程</w:t>
            </w:r>
          </w:p>
        </w:tc>
        <w:tc>
          <w:tcPr>
            <w:tcW w:w="164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11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10" w:hRule="atLeast"/>
        </w:trPr>
        <w:tc>
          <w:tcPr>
            <w:tcW w:w="1920" w:type="dxa"/>
            <w:tcBorders>
              <w:left w:val="single" w:color="auto" w:sz="8" w:space="0"/>
              <w:bottom w:val="single" w:color="auto" w:sz="8" w:space="0"/>
              <w:right w:val="single" w:color="auto" w:sz="8" w:space="0"/>
            </w:tcBorders>
            <w:vAlign w:val="bottom"/>
          </w:tcPr>
          <w:p>
            <w:pPr>
              <w:spacing w:after="0"/>
              <w:rPr>
                <w:color w:val="auto"/>
                <w:sz w:val="9"/>
                <w:szCs w:val="9"/>
                <w:shd w:val="clear" w:color="auto" w:fill="auto"/>
              </w:rPr>
            </w:pPr>
          </w:p>
        </w:tc>
        <w:tc>
          <w:tcPr>
            <w:tcW w:w="164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426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118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7" w:hRule="atLeast"/>
        </w:trPr>
        <w:tc>
          <w:tcPr>
            <w:tcW w:w="1920" w:type="dxa"/>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东南大学章程</w:t>
            </w:r>
          </w:p>
        </w:tc>
        <w:tc>
          <w:tcPr>
            <w:tcW w:w="164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11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2"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164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4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18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89" w:hRule="atLeast"/>
        </w:trPr>
        <w:tc>
          <w:tcPr>
            <w:tcW w:w="192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吉首大学章程</w:t>
            </w:r>
          </w:p>
        </w:tc>
        <w:tc>
          <w:tcPr>
            <w:tcW w:w="164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教职工代表大会</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监督章程执行权，受理、处理对违反章程的</w:t>
            </w:r>
          </w:p>
        </w:tc>
        <w:tc>
          <w:tcPr>
            <w:tcW w:w="11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86"/>
                <w:sz w:val="22"/>
                <w:szCs w:val="22"/>
                <w:shd w:val="clear" w:color="auto" w:fill="auto"/>
              </w:rPr>
              <w:t>第 99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92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164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常设机构</w:t>
            </w:r>
          </w:p>
        </w:tc>
        <w:tc>
          <w:tcPr>
            <w:tcW w:w="426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管理行为，办学活动等的举报和投诉权</w:t>
            </w:r>
          </w:p>
        </w:tc>
        <w:tc>
          <w:tcPr>
            <w:tcW w:w="118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92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640" w:type="dxa"/>
            <w:vMerge w:val="continue"/>
            <w:tcBorders>
              <w:right w:val="single" w:color="auto" w:sz="8" w:space="0"/>
            </w:tcBorders>
            <w:vAlign w:val="bottom"/>
          </w:tcPr>
          <w:p>
            <w:pPr>
              <w:spacing w:after="0"/>
              <w:rPr>
                <w:color w:val="auto"/>
                <w:sz w:val="13"/>
                <w:szCs w:val="13"/>
                <w:shd w:val="clear" w:color="auto" w:fill="auto"/>
              </w:rPr>
            </w:pPr>
          </w:p>
        </w:tc>
        <w:tc>
          <w:tcPr>
            <w:tcW w:w="4260" w:type="dxa"/>
            <w:vMerge w:val="continue"/>
            <w:tcBorders>
              <w:right w:val="single" w:color="auto" w:sz="8" w:space="0"/>
            </w:tcBorders>
            <w:vAlign w:val="bottom"/>
          </w:tcPr>
          <w:p>
            <w:pPr>
              <w:spacing w:after="0"/>
              <w:rPr>
                <w:color w:val="auto"/>
                <w:sz w:val="13"/>
                <w:szCs w:val="13"/>
                <w:shd w:val="clear" w:color="auto" w:fill="auto"/>
              </w:rPr>
            </w:pPr>
          </w:p>
        </w:tc>
        <w:tc>
          <w:tcPr>
            <w:tcW w:w="118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85"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6"/>
                <w:szCs w:val="16"/>
                <w:shd w:val="clear" w:color="auto" w:fill="auto"/>
              </w:rPr>
            </w:pPr>
          </w:p>
        </w:tc>
        <w:tc>
          <w:tcPr>
            <w:tcW w:w="164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426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1180" w:type="dxa"/>
            <w:tcBorders>
              <w:bottom w:val="single" w:color="auto" w:sz="8" w:space="0"/>
              <w:right w:val="single" w:color="auto" w:sz="8" w:space="0"/>
            </w:tcBorders>
            <w:vAlign w:val="bottom"/>
          </w:tcPr>
          <w:p>
            <w:pPr>
              <w:spacing w:after="0"/>
              <w:rPr>
                <w:color w:val="auto"/>
                <w:sz w:val="16"/>
                <w:szCs w:val="1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7" w:hRule="atLeast"/>
        </w:trPr>
        <w:tc>
          <w:tcPr>
            <w:tcW w:w="1920" w:type="dxa"/>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8"/>
                <w:sz w:val="22"/>
                <w:szCs w:val="22"/>
                <w:shd w:val="clear" w:color="auto" w:fill="auto"/>
              </w:rPr>
              <w:t>湖南师范大学章程</w:t>
            </w:r>
          </w:p>
        </w:tc>
        <w:tc>
          <w:tcPr>
            <w:tcW w:w="164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426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11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无</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2" w:hRule="atLeast"/>
        </w:trPr>
        <w:tc>
          <w:tcPr>
            <w:tcW w:w="192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164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4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18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bl>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line="274" w:lineRule="exact"/>
        <w:ind w:left="380"/>
        <w:rPr>
          <w:color w:val="auto"/>
          <w:sz w:val="20"/>
          <w:szCs w:val="20"/>
          <w:shd w:val="clear" w:color="auto" w:fill="auto"/>
        </w:rPr>
      </w:pPr>
      <w:r>
        <w:rPr>
          <w:rFonts w:ascii="楷体" w:hAnsi="楷体" w:eastAsia="楷体" w:cs="楷体"/>
          <w:b/>
          <w:bCs/>
          <w:color w:val="auto"/>
          <w:sz w:val="24"/>
          <w:szCs w:val="24"/>
          <w:shd w:val="clear" w:color="auto" w:fill="auto"/>
        </w:rPr>
        <w:t>（二）争议解决机制规定</w:t>
      </w:r>
    </w:p>
    <w:p>
      <w:pPr>
        <w:spacing w:after="0" w:line="217" w:lineRule="exact"/>
        <w:rPr>
          <w:color w:val="auto"/>
          <w:sz w:val="20"/>
          <w:szCs w:val="20"/>
          <w:shd w:val="clear" w:color="auto" w:fill="auto"/>
        </w:rPr>
      </w:pPr>
    </w:p>
    <w:p>
      <w:pPr>
        <w:spacing w:after="0" w:line="421" w:lineRule="exact"/>
        <w:ind w:left="20" w:right="40" w:firstLine="480"/>
        <w:jc w:val="both"/>
        <w:rPr>
          <w:color w:val="auto"/>
          <w:sz w:val="20"/>
          <w:szCs w:val="20"/>
          <w:shd w:val="clear" w:color="auto" w:fill="auto"/>
        </w:rPr>
      </w:pPr>
      <w:r>
        <w:rPr>
          <w:rFonts w:ascii="宋体" w:hAnsi="宋体" w:eastAsia="宋体" w:cs="宋体"/>
          <w:color w:val="auto"/>
          <w:sz w:val="23"/>
          <w:szCs w:val="23"/>
          <w:shd w:val="clear" w:color="auto" w:fill="auto"/>
        </w:rPr>
        <w:t>目前，许多高校在章程中建立了章程争议解决机制（见表 2）。其主要是对师生权利争议与学术争议解决的规定。如北京大学章程第 30 条规定“监察委员会调查处理学校机构及人员违反校纪校规的行为，受理学校机构及人员对处分决定的异议或者申诉”。吉首大学章程第 29 条规定设立学生申诉处理委员会，第 40 条规定设立教职工申诉委员会，以解决学生、教师与学校其他主体之间的纠纷，畅通权利救济途径。北京大学章程</w:t>
      </w:r>
    </w:p>
    <w:p>
      <w:pPr>
        <w:spacing w:after="0" w:line="231" w:lineRule="exact"/>
        <w:rPr>
          <w:color w:val="auto"/>
          <w:sz w:val="20"/>
          <w:szCs w:val="20"/>
          <w:shd w:val="clear" w:color="auto" w:fill="auto"/>
        </w:rPr>
      </w:pPr>
    </w:p>
    <w:p>
      <w:pPr>
        <w:numPr>
          <w:ilvl w:val="0"/>
          <w:numId w:val="2"/>
        </w:numPr>
        <w:tabs>
          <w:tab w:val="left" w:pos="320"/>
        </w:tabs>
        <w:spacing w:after="0" w:line="354" w:lineRule="exact"/>
        <w:ind w:left="20" w:hanging="2"/>
        <w:jc w:val="both"/>
        <w:rPr>
          <w:rFonts w:ascii="宋体" w:hAnsi="宋体" w:eastAsia="宋体" w:cs="宋体"/>
          <w:color w:val="auto"/>
          <w:sz w:val="23"/>
          <w:szCs w:val="23"/>
          <w:shd w:val="clear" w:color="auto" w:fill="auto"/>
        </w:rPr>
      </w:pPr>
      <w:r>
        <w:rPr>
          <w:rFonts w:ascii="宋体" w:hAnsi="宋体" w:eastAsia="宋体" w:cs="宋体"/>
          <w:color w:val="auto"/>
          <w:sz w:val="23"/>
          <w:szCs w:val="23"/>
          <w:shd w:val="clear" w:color="auto" w:fill="auto"/>
        </w:rPr>
        <w:t>27 条规定学术委员会负责“受理审查学术不端行为，裁决学术纠纷”。中国人民大学章程第 32 条规定学术委员会“制定学术规范，维护学术道德，处理学术纠纷等事项。”</w:t>
      </w:r>
    </w:p>
    <w:p>
      <w:pPr>
        <w:spacing w:after="0" w:line="227" w:lineRule="exact"/>
        <w:rPr>
          <w:color w:val="auto"/>
          <w:sz w:val="20"/>
          <w:szCs w:val="20"/>
          <w:shd w:val="clear" w:color="auto" w:fill="auto"/>
        </w:rPr>
      </w:pPr>
    </w:p>
    <w:p>
      <w:pPr>
        <w:spacing w:after="0" w:line="429" w:lineRule="exact"/>
        <w:ind w:left="20" w:right="60"/>
        <w:jc w:val="both"/>
        <w:rPr>
          <w:color w:val="auto"/>
          <w:sz w:val="20"/>
          <w:szCs w:val="20"/>
          <w:shd w:val="clear" w:color="auto" w:fill="auto"/>
        </w:rPr>
      </w:pPr>
      <w:r>
        <w:rPr>
          <w:rFonts w:ascii="宋体" w:hAnsi="宋体" w:eastAsia="宋体" w:cs="宋体"/>
          <w:color w:val="auto"/>
          <w:sz w:val="24"/>
          <w:szCs w:val="24"/>
          <w:shd w:val="clear" w:color="auto" w:fill="auto"/>
        </w:rPr>
        <w:t>我国大部分公立高校在章程中建立了教师、学生申诉委员会以解决教师、学生与学校纠纷，但对申诉委员会组成、运行机制等缺乏规定。更为重要的是，所有公立高校章程缺乏对政府部门与高校的争议解决机制的规定，以及高校党委会、校长及其行政部门、学术委员会权力机关及相互间争议解决机制的规定，从而难以通过有效途径解决政府举办权与高校办学自主权，高校内部权力行使的争议，影响到高校办学自主权的落实与扩大及内部权力合章行使。</w:t>
      </w:r>
    </w:p>
    <w:p>
      <w:pPr>
        <w:spacing w:after="0" w:line="194" w:lineRule="exact"/>
        <w:rPr>
          <w:color w:val="auto"/>
          <w:sz w:val="20"/>
          <w:szCs w:val="20"/>
          <w:shd w:val="clear" w:color="auto" w:fill="auto"/>
        </w:rPr>
      </w:pPr>
    </w:p>
    <w:p>
      <w:pPr>
        <w:tabs>
          <w:tab w:val="left" w:pos="2280"/>
        </w:tabs>
        <w:spacing w:after="0" w:line="229" w:lineRule="exact"/>
        <w:ind w:left="1740"/>
        <w:rPr>
          <w:color w:val="auto"/>
          <w:sz w:val="20"/>
          <w:szCs w:val="20"/>
          <w:shd w:val="clear" w:color="auto" w:fill="auto"/>
        </w:rPr>
      </w:pPr>
      <w:r>
        <w:rPr>
          <w:rFonts w:ascii="宋体" w:hAnsi="宋体" w:eastAsia="宋体" w:cs="宋体"/>
          <w:b/>
          <w:bCs/>
          <w:color w:val="auto"/>
          <w:sz w:val="20"/>
          <w:szCs w:val="20"/>
          <w:shd w:val="clear" w:color="auto" w:fill="auto"/>
        </w:rPr>
        <w:t>表 2</w:t>
      </w:r>
      <w:r>
        <w:rPr>
          <w:color w:val="auto"/>
          <w:sz w:val="20"/>
          <w:szCs w:val="20"/>
          <w:shd w:val="clear" w:color="auto" w:fill="auto"/>
        </w:rPr>
        <w:tab/>
      </w:r>
      <w:r>
        <w:rPr>
          <w:rFonts w:ascii="宋体" w:hAnsi="宋体" w:eastAsia="宋体" w:cs="宋体"/>
          <w:b/>
          <w:bCs/>
          <w:color w:val="auto"/>
          <w:sz w:val="19"/>
          <w:szCs w:val="19"/>
          <w:shd w:val="clear" w:color="auto" w:fill="auto"/>
        </w:rPr>
        <w:t>6 所公立高校章程中关于高校章程实施中争议解决机制的规定</w:t>
      </w:r>
    </w:p>
    <w:p>
      <w:pPr>
        <w:spacing w:after="0" w:line="139" w:lineRule="exact"/>
        <w:rPr>
          <w:color w:val="auto"/>
          <w:sz w:val="20"/>
          <w:szCs w:val="20"/>
          <w:shd w:val="clear" w:color="auto" w:fill="auto"/>
        </w:rPr>
      </w:pPr>
    </w:p>
    <w:tbl>
      <w:tblPr>
        <w:tblStyle w:val="3"/>
        <w:tblW w:w="9480" w:type="dxa"/>
        <w:tblInd w:w="10" w:type="dxa"/>
        <w:tblLayout w:type="fixed"/>
        <w:tblCellMar>
          <w:top w:w="0" w:type="dxa"/>
          <w:left w:w="0" w:type="dxa"/>
          <w:bottom w:w="0" w:type="dxa"/>
          <w:right w:w="0" w:type="dxa"/>
        </w:tblCellMar>
      </w:tblPr>
      <w:tblGrid>
        <w:gridCol w:w="1200"/>
        <w:gridCol w:w="1980"/>
        <w:gridCol w:w="2220"/>
        <w:gridCol w:w="1620"/>
        <w:gridCol w:w="2100"/>
        <w:gridCol w:w="360"/>
      </w:tblGrid>
      <w:tr>
        <w:tblPrEx>
          <w:tblLayout w:type="fixed"/>
          <w:tblCellMar>
            <w:top w:w="0" w:type="dxa"/>
            <w:left w:w="0" w:type="dxa"/>
            <w:bottom w:w="0" w:type="dxa"/>
            <w:right w:w="0" w:type="dxa"/>
          </w:tblCellMar>
        </w:tblPrEx>
        <w:trPr>
          <w:trHeight w:val="334" w:hRule="atLeast"/>
        </w:trPr>
        <w:tc>
          <w:tcPr>
            <w:tcW w:w="1200" w:type="dxa"/>
            <w:tcBorders>
              <w:top w:val="single" w:color="auto" w:sz="8" w:space="0"/>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高校章程</w:t>
            </w:r>
          </w:p>
        </w:tc>
        <w:tc>
          <w:tcPr>
            <w:tcW w:w="198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争议种类</w:t>
            </w:r>
          </w:p>
        </w:tc>
        <w:tc>
          <w:tcPr>
            <w:tcW w:w="222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争议解决机关</w:t>
            </w:r>
          </w:p>
        </w:tc>
        <w:tc>
          <w:tcPr>
            <w:tcW w:w="162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争议解决方式</w:t>
            </w:r>
          </w:p>
        </w:tc>
        <w:tc>
          <w:tcPr>
            <w:tcW w:w="210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规定条款</w:t>
            </w:r>
          </w:p>
        </w:tc>
        <w:tc>
          <w:tcPr>
            <w:tcW w:w="0" w:type="dxa"/>
            <w:vAlign w:val="bottom"/>
          </w:tcPr>
          <w:p>
            <w:pPr>
              <w:spacing w:after="0"/>
              <w:rPr>
                <w:color w:val="auto"/>
                <w:sz w:val="1"/>
                <w:szCs w:val="1"/>
                <w:shd w:val="clear" w:color="auto" w:fill="auto"/>
              </w:rPr>
            </w:pPr>
          </w:p>
        </w:tc>
      </w:tr>
      <w:tr>
        <w:tblPrEx>
          <w:tblLayout w:type="fixed"/>
        </w:tblPrEx>
        <w:trPr>
          <w:trHeight w:val="10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9"/>
                <w:szCs w:val="9"/>
                <w:shd w:val="clear" w:color="auto" w:fill="auto"/>
              </w:rPr>
            </w:pPr>
          </w:p>
        </w:tc>
        <w:tc>
          <w:tcPr>
            <w:tcW w:w="198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222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162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210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99"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师生权利保护争议</w:t>
            </w:r>
          </w:p>
        </w:tc>
        <w:tc>
          <w:tcPr>
            <w:tcW w:w="22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学校或教育行政部门</w:t>
            </w:r>
          </w:p>
        </w:tc>
        <w:tc>
          <w:tcPr>
            <w:tcW w:w="16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申诉诉讼</w:t>
            </w:r>
          </w:p>
        </w:tc>
        <w:tc>
          <w:tcPr>
            <w:tcW w:w="210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5"/>
                <w:sz w:val="22"/>
                <w:szCs w:val="22"/>
                <w:shd w:val="clear" w:color="auto" w:fill="auto"/>
              </w:rPr>
              <w:t>第 17 条，第 21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94"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北京大学</w:t>
            </w:r>
          </w:p>
        </w:tc>
        <w:tc>
          <w:tcPr>
            <w:tcW w:w="198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2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6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1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06" w:hRule="atLeast"/>
        </w:trPr>
        <w:tc>
          <w:tcPr>
            <w:tcW w:w="1200" w:type="dxa"/>
            <w:vMerge w:val="continue"/>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学术争议</w:t>
            </w:r>
          </w:p>
        </w:tc>
        <w:tc>
          <w:tcPr>
            <w:tcW w:w="22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学术委员会</w:t>
            </w:r>
          </w:p>
        </w:tc>
        <w:tc>
          <w:tcPr>
            <w:tcW w:w="16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裁决</w:t>
            </w:r>
          </w:p>
        </w:tc>
        <w:tc>
          <w:tcPr>
            <w:tcW w:w="210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27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03"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章程</w:t>
            </w:r>
          </w:p>
        </w:tc>
        <w:tc>
          <w:tcPr>
            <w:tcW w:w="198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2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6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1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40" w:hRule="atLeast"/>
        </w:trPr>
        <w:tc>
          <w:tcPr>
            <w:tcW w:w="1200" w:type="dxa"/>
            <w:vMerge w:val="continue"/>
            <w:tcBorders>
              <w:left w:val="single" w:color="auto" w:sz="8" w:space="0"/>
              <w:right w:val="single" w:color="auto" w:sz="8" w:space="0"/>
            </w:tcBorders>
            <w:vAlign w:val="bottom"/>
          </w:tcPr>
          <w:p>
            <w:pPr>
              <w:spacing w:after="0"/>
              <w:rPr>
                <w:color w:val="auto"/>
                <w:sz w:val="12"/>
                <w:szCs w:val="12"/>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学校机构及人员</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监察委员会</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处理</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30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14" w:hRule="atLeast"/>
        </w:trPr>
        <w:tc>
          <w:tcPr>
            <w:tcW w:w="1200" w:type="dxa"/>
            <w:tcBorders>
              <w:left w:val="single" w:color="auto" w:sz="8" w:space="0"/>
              <w:right w:val="single" w:color="auto" w:sz="8" w:space="0"/>
            </w:tcBorders>
            <w:vAlign w:val="bottom"/>
          </w:tcPr>
          <w:p>
            <w:pPr>
              <w:spacing w:after="0"/>
              <w:rPr>
                <w:color w:val="auto"/>
                <w:sz w:val="9"/>
                <w:szCs w:val="9"/>
                <w:shd w:val="clear" w:color="auto" w:fill="auto"/>
              </w:rPr>
            </w:pPr>
          </w:p>
        </w:tc>
        <w:tc>
          <w:tcPr>
            <w:tcW w:w="1980" w:type="dxa"/>
            <w:vMerge w:val="continue"/>
            <w:tcBorders>
              <w:right w:val="single" w:color="auto" w:sz="8" w:space="0"/>
            </w:tcBorders>
            <w:vAlign w:val="bottom"/>
          </w:tcPr>
          <w:p>
            <w:pPr>
              <w:spacing w:after="0"/>
              <w:rPr>
                <w:color w:val="auto"/>
                <w:sz w:val="9"/>
                <w:szCs w:val="9"/>
                <w:shd w:val="clear" w:color="auto" w:fill="auto"/>
              </w:rPr>
            </w:pPr>
          </w:p>
        </w:tc>
        <w:tc>
          <w:tcPr>
            <w:tcW w:w="2220" w:type="dxa"/>
            <w:vMerge w:val="continue"/>
            <w:tcBorders>
              <w:right w:val="single" w:color="auto" w:sz="8" w:space="0"/>
            </w:tcBorders>
            <w:vAlign w:val="bottom"/>
          </w:tcPr>
          <w:p>
            <w:pPr>
              <w:spacing w:after="0"/>
              <w:rPr>
                <w:color w:val="auto"/>
                <w:sz w:val="9"/>
                <w:szCs w:val="9"/>
                <w:shd w:val="clear" w:color="auto" w:fill="auto"/>
              </w:rPr>
            </w:pPr>
          </w:p>
        </w:tc>
        <w:tc>
          <w:tcPr>
            <w:tcW w:w="1620" w:type="dxa"/>
            <w:vMerge w:val="continue"/>
            <w:tcBorders>
              <w:right w:val="single" w:color="auto" w:sz="8" w:space="0"/>
            </w:tcBorders>
            <w:vAlign w:val="bottom"/>
          </w:tcPr>
          <w:p>
            <w:pPr>
              <w:spacing w:after="0"/>
              <w:rPr>
                <w:color w:val="auto"/>
                <w:sz w:val="9"/>
                <w:szCs w:val="9"/>
                <w:shd w:val="clear" w:color="auto" w:fill="auto"/>
              </w:rPr>
            </w:pPr>
          </w:p>
        </w:tc>
        <w:tc>
          <w:tcPr>
            <w:tcW w:w="2100" w:type="dxa"/>
            <w:vMerge w:val="continue"/>
            <w:tcBorders>
              <w:right w:val="single" w:color="auto" w:sz="8" w:space="0"/>
            </w:tcBorders>
            <w:vAlign w:val="bottom"/>
          </w:tcPr>
          <w:p>
            <w:pPr>
              <w:spacing w:after="0"/>
              <w:rPr>
                <w:color w:val="auto"/>
                <w:sz w:val="9"/>
                <w:szCs w:val="9"/>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处分争议</w:t>
            </w:r>
          </w:p>
        </w:tc>
        <w:tc>
          <w:tcPr>
            <w:tcW w:w="2220" w:type="dxa"/>
            <w:vMerge w:val="continue"/>
            <w:tcBorders>
              <w:right w:val="single" w:color="auto" w:sz="8" w:space="0"/>
            </w:tcBorders>
            <w:vAlign w:val="bottom"/>
          </w:tcPr>
          <w:p>
            <w:pPr>
              <w:spacing w:after="0"/>
              <w:rPr>
                <w:color w:val="auto"/>
                <w:sz w:val="13"/>
                <w:szCs w:val="13"/>
                <w:shd w:val="clear" w:color="auto" w:fill="auto"/>
              </w:rPr>
            </w:pPr>
          </w:p>
        </w:tc>
        <w:tc>
          <w:tcPr>
            <w:tcW w:w="1620" w:type="dxa"/>
            <w:vMerge w:val="continue"/>
            <w:tcBorders>
              <w:right w:val="single" w:color="auto" w:sz="8" w:space="0"/>
            </w:tcBorders>
            <w:vAlign w:val="bottom"/>
          </w:tcPr>
          <w:p>
            <w:pPr>
              <w:spacing w:after="0"/>
              <w:rPr>
                <w:color w:val="auto"/>
                <w:sz w:val="13"/>
                <w:szCs w:val="13"/>
                <w:shd w:val="clear" w:color="auto" w:fill="auto"/>
              </w:rPr>
            </w:pPr>
          </w:p>
        </w:tc>
        <w:tc>
          <w:tcPr>
            <w:tcW w:w="21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14" w:hRule="atLeast"/>
        </w:trPr>
        <w:tc>
          <w:tcPr>
            <w:tcW w:w="1200" w:type="dxa"/>
            <w:vAlign w:val="bottom"/>
          </w:tcPr>
          <w:p>
            <w:pPr>
              <w:spacing w:after="0"/>
              <w:rPr>
                <w:color w:val="auto"/>
                <w:sz w:val="24"/>
                <w:szCs w:val="24"/>
                <w:shd w:val="clear" w:color="auto" w:fill="auto"/>
              </w:rPr>
            </w:pPr>
          </w:p>
        </w:tc>
        <w:tc>
          <w:tcPr>
            <w:tcW w:w="1980" w:type="dxa"/>
            <w:vAlign w:val="bottom"/>
          </w:tcPr>
          <w:p>
            <w:pPr>
              <w:spacing w:after="0"/>
              <w:rPr>
                <w:color w:val="auto"/>
                <w:sz w:val="24"/>
                <w:szCs w:val="24"/>
                <w:shd w:val="clear" w:color="auto" w:fill="auto"/>
              </w:rPr>
            </w:pPr>
          </w:p>
        </w:tc>
        <w:tc>
          <w:tcPr>
            <w:tcW w:w="2220" w:type="dxa"/>
            <w:vAlign w:val="bottom"/>
          </w:tcPr>
          <w:p>
            <w:pPr>
              <w:spacing w:after="0"/>
              <w:ind w:right="654"/>
              <w:jc w:val="right"/>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17</w:t>
            </w:r>
          </w:p>
        </w:tc>
        <w:tc>
          <w:tcPr>
            <w:tcW w:w="1620" w:type="dxa"/>
            <w:vAlign w:val="bottom"/>
          </w:tcPr>
          <w:p>
            <w:pPr>
              <w:spacing w:after="0"/>
              <w:rPr>
                <w:color w:val="auto"/>
                <w:sz w:val="24"/>
                <w:szCs w:val="24"/>
                <w:shd w:val="clear" w:color="auto" w:fill="auto"/>
              </w:rPr>
            </w:pPr>
          </w:p>
        </w:tc>
        <w:tc>
          <w:tcPr>
            <w:tcW w:w="2100" w:type="dxa"/>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bl>
    <w:p>
      <w:pPr>
        <w:rPr>
          <w:shd w:val="clear" w:color="auto" w:fill="auto"/>
        </w:rPr>
        <w:sectPr>
          <w:pgSz w:w="11900" w:h="16840"/>
          <w:pgMar w:top="1422" w:right="1364" w:bottom="560" w:left="1400" w:header="0" w:footer="0" w:gutter="0"/>
          <w:cols w:equalWidth="0" w:num="1">
            <w:col w:w="9140"/>
          </w:cols>
        </w:sectPr>
      </w:pPr>
    </w:p>
    <w:p>
      <w:pPr>
        <w:spacing w:after="0" w:line="1" w:lineRule="exact"/>
        <w:rPr>
          <w:color w:val="auto"/>
          <w:sz w:val="20"/>
          <w:szCs w:val="20"/>
          <w:shd w:val="clear" w:color="auto" w:fill="auto"/>
        </w:rPr>
      </w:pPr>
      <w:bookmarkStart w:id="20" w:name="page20"/>
      <w:bookmarkEnd w:id="20"/>
    </w:p>
    <w:tbl>
      <w:tblPr>
        <w:tblStyle w:val="3"/>
        <w:tblW w:w="9480" w:type="dxa"/>
        <w:tblInd w:w="10" w:type="dxa"/>
        <w:tblLayout w:type="fixed"/>
        <w:tblCellMar>
          <w:top w:w="0" w:type="dxa"/>
          <w:left w:w="0" w:type="dxa"/>
          <w:bottom w:w="0" w:type="dxa"/>
          <w:right w:w="0" w:type="dxa"/>
        </w:tblCellMar>
      </w:tblPr>
      <w:tblGrid>
        <w:gridCol w:w="1200"/>
        <w:gridCol w:w="1980"/>
        <w:gridCol w:w="2220"/>
        <w:gridCol w:w="1620"/>
        <w:gridCol w:w="2100"/>
        <w:gridCol w:w="360"/>
      </w:tblGrid>
      <w:tr>
        <w:tblPrEx>
          <w:tblLayout w:type="fixed"/>
          <w:tblCellMar>
            <w:top w:w="0" w:type="dxa"/>
            <w:left w:w="0" w:type="dxa"/>
            <w:bottom w:w="0" w:type="dxa"/>
            <w:right w:w="0" w:type="dxa"/>
          </w:tblCellMar>
        </w:tblPrEx>
        <w:trPr>
          <w:trHeight w:val="343" w:hRule="atLeast"/>
        </w:trPr>
        <w:tc>
          <w:tcPr>
            <w:tcW w:w="1200" w:type="dxa"/>
            <w:vMerge w:val="restart"/>
            <w:tcBorders>
              <w:top w:val="single" w:color="auto" w:sz="8" w:space="0"/>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中国人民</w:t>
            </w:r>
          </w:p>
        </w:tc>
        <w:tc>
          <w:tcPr>
            <w:tcW w:w="198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教职工权利争议</w:t>
            </w:r>
          </w:p>
        </w:tc>
        <w:tc>
          <w:tcPr>
            <w:tcW w:w="222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学校或教育行政部门</w:t>
            </w:r>
          </w:p>
        </w:tc>
        <w:tc>
          <w:tcPr>
            <w:tcW w:w="162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申诉诉讼</w:t>
            </w:r>
          </w:p>
        </w:tc>
        <w:tc>
          <w:tcPr>
            <w:tcW w:w="2100" w:type="dxa"/>
            <w:tcBorders>
              <w:top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18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80" w:hRule="atLeast"/>
        </w:trPr>
        <w:tc>
          <w:tcPr>
            <w:tcW w:w="1200" w:type="dxa"/>
            <w:vMerge w:val="continue"/>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tcBorders>
              <w:right w:val="single" w:color="auto" w:sz="8" w:space="0"/>
            </w:tcBorders>
            <w:vAlign w:val="bottom"/>
          </w:tcPr>
          <w:p>
            <w:pPr>
              <w:spacing w:after="0"/>
              <w:rPr>
                <w:color w:val="auto"/>
                <w:sz w:val="6"/>
                <w:szCs w:val="6"/>
                <w:shd w:val="clear" w:color="auto" w:fill="auto"/>
              </w:rPr>
            </w:pPr>
          </w:p>
        </w:tc>
        <w:tc>
          <w:tcPr>
            <w:tcW w:w="2220" w:type="dxa"/>
            <w:tcBorders>
              <w:right w:val="single" w:color="auto" w:sz="8" w:space="0"/>
            </w:tcBorders>
            <w:vAlign w:val="bottom"/>
          </w:tcPr>
          <w:p>
            <w:pPr>
              <w:spacing w:after="0"/>
              <w:rPr>
                <w:color w:val="auto"/>
                <w:sz w:val="6"/>
                <w:szCs w:val="6"/>
                <w:shd w:val="clear" w:color="auto" w:fill="auto"/>
              </w:rPr>
            </w:pPr>
          </w:p>
        </w:tc>
        <w:tc>
          <w:tcPr>
            <w:tcW w:w="1620" w:type="dxa"/>
            <w:tcBorders>
              <w:right w:val="single" w:color="auto" w:sz="8" w:space="0"/>
            </w:tcBorders>
            <w:vAlign w:val="bottom"/>
          </w:tcPr>
          <w:p>
            <w:pPr>
              <w:spacing w:after="0"/>
              <w:rPr>
                <w:color w:val="auto"/>
                <w:sz w:val="6"/>
                <w:szCs w:val="6"/>
                <w:shd w:val="clear" w:color="auto" w:fill="auto"/>
              </w:rPr>
            </w:pPr>
          </w:p>
        </w:tc>
        <w:tc>
          <w:tcPr>
            <w:tcW w:w="2100" w:type="dxa"/>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8"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大学章程</w:t>
            </w:r>
          </w:p>
        </w:tc>
        <w:tc>
          <w:tcPr>
            <w:tcW w:w="1980" w:type="dxa"/>
            <w:tcBorders>
              <w:bottom w:val="single" w:color="auto" w:sz="8" w:space="0"/>
              <w:right w:val="single" w:color="auto" w:sz="8" w:space="0"/>
            </w:tcBorders>
            <w:vAlign w:val="bottom"/>
          </w:tcPr>
          <w:p>
            <w:pPr>
              <w:spacing w:after="0"/>
              <w:rPr>
                <w:color w:val="auto"/>
                <w:sz w:val="3"/>
                <w:szCs w:val="3"/>
                <w:shd w:val="clear" w:color="auto" w:fill="auto"/>
              </w:rPr>
            </w:pPr>
          </w:p>
        </w:tc>
        <w:tc>
          <w:tcPr>
            <w:tcW w:w="2220" w:type="dxa"/>
            <w:tcBorders>
              <w:bottom w:val="single" w:color="auto" w:sz="8" w:space="0"/>
              <w:right w:val="single" w:color="auto" w:sz="8" w:space="0"/>
            </w:tcBorders>
            <w:vAlign w:val="bottom"/>
          </w:tcPr>
          <w:p>
            <w:pPr>
              <w:spacing w:after="0"/>
              <w:rPr>
                <w:color w:val="auto"/>
                <w:sz w:val="3"/>
                <w:szCs w:val="3"/>
                <w:shd w:val="clear" w:color="auto" w:fill="auto"/>
              </w:rPr>
            </w:pPr>
          </w:p>
        </w:tc>
        <w:tc>
          <w:tcPr>
            <w:tcW w:w="1620" w:type="dxa"/>
            <w:tcBorders>
              <w:bottom w:val="single" w:color="auto" w:sz="8" w:space="0"/>
              <w:right w:val="single" w:color="auto" w:sz="8" w:space="0"/>
            </w:tcBorders>
            <w:vAlign w:val="bottom"/>
          </w:tcPr>
          <w:p>
            <w:pPr>
              <w:spacing w:after="0"/>
              <w:rPr>
                <w:color w:val="auto"/>
                <w:sz w:val="3"/>
                <w:szCs w:val="3"/>
                <w:shd w:val="clear" w:color="auto" w:fill="auto"/>
              </w:rPr>
            </w:pPr>
          </w:p>
        </w:tc>
        <w:tc>
          <w:tcPr>
            <w:tcW w:w="2100" w:type="dxa"/>
            <w:tcBorders>
              <w:bottom w:val="single" w:color="auto" w:sz="8" w:space="0"/>
              <w:right w:val="single" w:color="auto" w:sz="8" w:space="0"/>
            </w:tcBorders>
            <w:vAlign w:val="bottom"/>
          </w:tcPr>
          <w:p>
            <w:pPr>
              <w:spacing w:after="0"/>
              <w:rPr>
                <w:color w:val="auto"/>
                <w:sz w:val="3"/>
                <w:szCs w:val="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vMerge w:val="continue"/>
            <w:tcBorders>
              <w:left w:val="single" w:color="auto" w:sz="8" w:space="0"/>
              <w:right w:val="single" w:color="auto" w:sz="8" w:space="0"/>
            </w:tcBorders>
            <w:vAlign w:val="bottom"/>
          </w:tcPr>
          <w:p>
            <w:pPr>
              <w:spacing w:after="0"/>
              <w:rPr>
                <w:color w:val="auto"/>
                <w:sz w:val="22"/>
                <w:szCs w:val="22"/>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学术争议</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学术委员会</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处理</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3"/>
                <w:sz w:val="22"/>
                <w:szCs w:val="22"/>
                <w:shd w:val="clear" w:color="auto" w:fill="auto"/>
              </w:rPr>
              <w:t>第 32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80" w:hRule="atLeast"/>
        </w:trPr>
        <w:tc>
          <w:tcPr>
            <w:tcW w:w="1200" w:type="dxa"/>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vMerge w:val="continue"/>
            <w:tcBorders>
              <w:right w:val="single" w:color="auto" w:sz="8" w:space="0"/>
            </w:tcBorders>
            <w:vAlign w:val="bottom"/>
          </w:tcPr>
          <w:p>
            <w:pPr>
              <w:spacing w:after="0"/>
              <w:rPr>
                <w:color w:val="auto"/>
                <w:sz w:val="6"/>
                <w:szCs w:val="6"/>
                <w:shd w:val="clear" w:color="auto" w:fill="auto"/>
              </w:rPr>
            </w:pPr>
          </w:p>
        </w:tc>
        <w:tc>
          <w:tcPr>
            <w:tcW w:w="2220" w:type="dxa"/>
            <w:vMerge w:val="continue"/>
            <w:tcBorders>
              <w:right w:val="single" w:color="auto" w:sz="8" w:space="0"/>
            </w:tcBorders>
            <w:vAlign w:val="bottom"/>
          </w:tcPr>
          <w:p>
            <w:pPr>
              <w:spacing w:after="0"/>
              <w:rPr>
                <w:color w:val="auto"/>
                <w:sz w:val="6"/>
                <w:szCs w:val="6"/>
                <w:shd w:val="clear" w:color="auto" w:fill="auto"/>
              </w:rPr>
            </w:pPr>
          </w:p>
        </w:tc>
        <w:tc>
          <w:tcPr>
            <w:tcW w:w="1620" w:type="dxa"/>
            <w:vMerge w:val="continue"/>
            <w:tcBorders>
              <w:right w:val="single" w:color="auto" w:sz="8" w:space="0"/>
            </w:tcBorders>
            <w:vAlign w:val="bottom"/>
          </w:tcPr>
          <w:p>
            <w:pPr>
              <w:spacing w:after="0"/>
              <w:rPr>
                <w:color w:val="auto"/>
                <w:sz w:val="6"/>
                <w:szCs w:val="6"/>
                <w:shd w:val="clear" w:color="auto" w:fill="auto"/>
              </w:rPr>
            </w:pPr>
          </w:p>
        </w:tc>
        <w:tc>
          <w:tcPr>
            <w:tcW w:w="2100" w:type="dxa"/>
            <w:vMerge w:val="continue"/>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7" w:hRule="atLeast"/>
        </w:trPr>
        <w:tc>
          <w:tcPr>
            <w:tcW w:w="1200" w:type="dxa"/>
            <w:tcBorders>
              <w:left w:val="single" w:color="auto" w:sz="8" w:space="0"/>
              <w:bottom w:val="single" w:color="auto" w:sz="8" w:space="0"/>
              <w:right w:val="single" w:color="auto" w:sz="8" w:space="0"/>
            </w:tcBorders>
            <w:vAlign w:val="bottom"/>
          </w:tcPr>
          <w:p>
            <w:pPr>
              <w:spacing w:after="0"/>
              <w:rPr>
                <w:color w:val="auto"/>
                <w:sz w:val="11"/>
                <w:szCs w:val="11"/>
                <w:shd w:val="clear" w:color="auto" w:fill="auto"/>
              </w:rPr>
            </w:pPr>
          </w:p>
        </w:tc>
        <w:tc>
          <w:tcPr>
            <w:tcW w:w="198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22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62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1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2"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东南大学</w:t>
            </w: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师生权力保护争议</w:t>
            </w:r>
          </w:p>
        </w:tc>
        <w:tc>
          <w:tcPr>
            <w:tcW w:w="22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w:t>
            </w:r>
          </w:p>
        </w:tc>
        <w:tc>
          <w:tcPr>
            <w:tcW w:w="16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w:t>
            </w:r>
          </w:p>
        </w:tc>
        <w:tc>
          <w:tcPr>
            <w:tcW w:w="210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5"/>
                <w:sz w:val="22"/>
                <w:szCs w:val="22"/>
                <w:shd w:val="clear" w:color="auto" w:fill="auto"/>
              </w:rPr>
              <w:t>第 23 条，第 28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72" w:hRule="atLeast"/>
        </w:trPr>
        <w:tc>
          <w:tcPr>
            <w:tcW w:w="1200" w:type="dxa"/>
            <w:vMerge w:val="continue"/>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tcBorders>
              <w:right w:val="single" w:color="auto" w:sz="8" w:space="0"/>
            </w:tcBorders>
            <w:vAlign w:val="bottom"/>
          </w:tcPr>
          <w:p>
            <w:pPr>
              <w:spacing w:after="0"/>
              <w:rPr>
                <w:color w:val="auto"/>
                <w:sz w:val="6"/>
                <w:szCs w:val="6"/>
                <w:shd w:val="clear" w:color="auto" w:fill="auto"/>
              </w:rPr>
            </w:pPr>
          </w:p>
        </w:tc>
        <w:tc>
          <w:tcPr>
            <w:tcW w:w="2220" w:type="dxa"/>
            <w:tcBorders>
              <w:right w:val="single" w:color="auto" w:sz="8" w:space="0"/>
            </w:tcBorders>
            <w:vAlign w:val="bottom"/>
          </w:tcPr>
          <w:p>
            <w:pPr>
              <w:spacing w:after="0"/>
              <w:rPr>
                <w:color w:val="auto"/>
                <w:sz w:val="6"/>
                <w:szCs w:val="6"/>
                <w:shd w:val="clear" w:color="auto" w:fill="auto"/>
              </w:rPr>
            </w:pPr>
          </w:p>
        </w:tc>
        <w:tc>
          <w:tcPr>
            <w:tcW w:w="1620" w:type="dxa"/>
            <w:tcBorders>
              <w:right w:val="single" w:color="auto" w:sz="8" w:space="0"/>
            </w:tcBorders>
            <w:vAlign w:val="bottom"/>
          </w:tcPr>
          <w:p>
            <w:pPr>
              <w:spacing w:after="0"/>
              <w:rPr>
                <w:color w:val="auto"/>
                <w:sz w:val="6"/>
                <w:szCs w:val="6"/>
                <w:shd w:val="clear" w:color="auto" w:fill="auto"/>
              </w:rPr>
            </w:pPr>
          </w:p>
        </w:tc>
        <w:tc>
          <w:tcPr>
            <w:tcW w:w="2100" w:type="dxa"/>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7"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章程</w:t>
            </w: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45" w:hRule="atLeast"/>
        </w:trPr>
        <w:tc>
          <w:tcPr>
            <w:tcW w:w="1200" w:type="dxa"/>
            <w:vMerge w:val="continue"/>
            <w:tcBorders>
              <w:left w:val="single" w:color="auto" w:sz="8" w:space="0"/>
              <w:right w:val="single" w:color="auto" w:sz="8" w:space="0"/>
            </w:tcBorders>
            <w:vAlign w:val="bottom"/>
          </w:tcPr>
          <w:p>
            <w:pPr>
              <w:spacing w:after="0"/>
              <w:rPr>
                <w:color w:val="auto"/>
                <w:sz w:val="21"/>
                <w:szCs w:val="21"/>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学术争议</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学术委员会</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裁定</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3"/>
                <w:sz w:val="22"/>
                <w:szCs w:val="22"/>
                <w:shd w:val="clear" w:color="auto" w:fill="auto"/>
              </w:rPr>
              <w:t>第 42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80" w:hRule="atLeast"/>
        </w:trPr>
        <w:tc>
          <w:tcPr>
            <w:tcW w:w="1200" w:type="dxa"/>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vMerge w:val="continue"/>
            <w:tcBorders>
              <w:right w:val="single" w:color="auto" w:sz="8" w:space="0"/>
            </w:tcBorders>
            <w:vAlign w:val="bottom"/>
          </w:tcPr>
          <w:p>
            <w:pPr>
              <w:spacing w:after="0"/>
              <w:rPr>
                <w:color w:val="auto"/>
                <w:sz w:val="6"/>
                <w:szCs w:val="6"/>
                <w:shd w:val="clear" w:color="auto" w:fill="auto"/>
              </w:rPr>
            </w:pPr>
          </w:p>
        </w:tc>
        <w:tc>
          <w:tcPr>
            <w:tcW w:w="2220" w:type="dxa"/>
            <w:vMerge w:val="continue"/>
            <w:tcBorders>
              <w:right w:val="single" w:color="auto" w:sz="8" w:space="0"/>
            </w:tcBorders>
            <w:vAlign w:val="bottom"/>
          </w:tcPr>
          <w:p>
            <w:pPr>
              <w:spacing w:after="0"/>
              <w:rPr>
                <w:color w:val="auto"/>
                <w:sz w:val="6"/>
                <w:szCs w:val="6"/>
                <w:shd w:val="clear" w:color="auto" w:fill="auto"/>
              </w:rPr>
            </w:pPr>
          </w:p>
        </w:tc>
        <w:tc>
          <w:tcPr>
            <w:tcW w:w="1620" w:type="dxa"/>
            <w:vMerge w:val="continue"/>
            <w:tcBorders>
              <w:right w:val="single" w:color="auto" w:sz="8" w:space="0"/>
            </w:tcBorders>
            <w:vAlign w:val="bottom"/>
          </w:tcPr>
          <w:p>
            <w:pPr>
              <w:spacing w:after="0"/>
              <w:rPr>
                <w:color w:val="auto"/>
                <w:sz w:val="6"/>
                <w:szCs w:val="6"/>
                <w:shd w:val="clear" w:color="auto" w:fill="auto"/>
              </w:rPr>
            </w:pPr>
          </w:p>
        </w:tc>
        <w:tc>
          <w:tcPr>
            <w:tcW w:w="2100" w:type="dxa"/>
            <w:vMerge w:val="continue"/>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19" w:hRule="atLeast"/>
        </w:trPr>
        <w:tc>
          <w:tcPr>
            <w:tcW w:w="120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198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222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62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21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吉林大学</w:t>
            </w: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学生纪律处分和涉</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学校、教育主管行政</w:t>
            </w:r>
          </w:p>
        </w:tc>
        <w:tc>
          <w:tcPr>
            <w:tcW w:w="1620" w:type="dxa"/>
            <w:tcBorders>
              <w:right w:val="single" w:color="auto" w:sz="8" w:space="0"/>
            </w:tcBorders>
            <w:vAlign w:val="bottom"/>
          </w:tcPr>
          <w:p>
            <w:pPr>
              <w:spacing w:after="0"/>
              <w:rPr>
                <w:color w:val="auto"/>
                <w:sz w:val="22"/>
                <w:szCs w:val="22"/>
                <w:shd w:val="clear" w:color="auto" w:fill="auto"/>
              </w:rPr>
            </w:pPr>
          </w:p>
        </w:tc>
        <w:tc>
          <w:tcPr>
            <w:tcW w:w="2100" w:type="dxa"/>
            <w:tcBorders>
              <w:right w:val="single" w:color="auto" w:sz="8" w:space="0"/>
            </w:tcBorders>
            <w:vAlign w:val="bottom"/>
          </w:tcPr>
          <w:p>
            <w:pPr>
              <w:spacing w:after="0"/>
              <w:rPr>
                <w:color w:val="auto"/>
                <w:sz w:val="22"/>
                <w:szCs w:val="22"/>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及自身利益的相关</w:t>
            </w:r>
          </w:p>
        </w:tc>
        <w:tc>
          <w:tcPr>
            <w:tcW w:w="2220" w:type="dxa"/>
            <w:vMerge w:val="continue"/>
            <w:tcBorders>
              <w:right w:val="single" w:color="auto" w:sz="8" w:space="0"/>
            </w:tcBorders>
            <w:vAlign w:val="bottom"/>
          </w:tcPr>
          <w:p>
            <w:pPr>
              <w:spacing w:after="0"/>
              <w:rPr>
                <w:color w:val="auto"/>
                <w:sz w:val="13"/>
                <w:szCs w:val="13"/>
                <w:shd w:val="clear" w:color="auto" w:fill="auto"/>
              </w:rPr>
            </w:pP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申诉诉讼</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67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章程</w:t>
            </w: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部门或司法机关</w:t>
            </w:r>
          </w:p>
        </w:tc>
        <w:tc>
          <w:tcPr>
            <w:tcW w:w="1620" w:type="dxa"/>
            <w:vMerge w:val="continue"/>
            <w:tcBorders>
              <w:right w:val="single" w:color="auto" w:sz="8" w:space="0"/>
            </w:tcBorders>
            <w:vAlign w:val="bottom"/>
          </w:tcPr>
          <w:p>
            <w:pPr>
              <w:spacing w:after="0"/>
              <w:rPr>
                <w:color w:val="auto"/>
                <w:sz w:val="13"/>
                <w:szCs w:val="13"/>
                <w:shd w:val="clear" w:color="auto" w:fill="auto"/>
              </w:rPr>
            </w:pPr>
          </w:p>
        </w:tc>
        <w:tc>
          <w:tcPr>
            <w:tcW w:w="21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决定</w:t>
            </w:r>
          </w:p>
        </w:tc>
        <w:tc>
          <w:tcPr>
            <w:tcW w:w="2220" w:type="dxa"/>
            <w:vMerge w:val="continue"/>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8"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right w:val="single" w:color="auto" w:sz="8" w:space="0"/>
            </w:tcBorders>
            <w:vAlign w:val="bottom"/>
          </w:tcPr>
          <w:p>
            <w:pPr>
              <w:spacing w:after="0"/>
              <w:rPr>
                <w:color w:val="auto"/>
                <w:sz w:val="22"/>
                <w:szCs w:val="22"/>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学生对学校纪律处</w:t>
            </w:r>
          </w:p>
        </w:tc>
        <w:tc>
          <w:tcPr>
            <w:tcW w:w="2220" w:type="dxa"/>
            <w:tcBorders>
              <w:right w:val="single" w:color="auto" w:sz="8" w:space="0"/>
            </w:tcBorders>
            <w:vAlign w:val="bottom"/>
          </w:tcPr>
          <w:p>
            <w:pPr>
              <w:spacing w:after="0"/>
              <w:rPr>
                <w:color w:val="auto"/>
                <w:sz w:val="22"/>
                <w:szCs w:val="22"/>
                <w:shd w:val="clear" w:color="auto" w:fill="auto"/>
              </w:rPr>
            </w:pPr>
          </w:p>
        </w:tc>
        <w:tc>
          <w:tcPr>
            <w:tcW w:w="1620" w:type="dxa"/>
            <w:tcBorders>
              <w:right w:val="single" w:color="auto" w:sz="8" w:space="0"/>
            </w:tcBorders>
            <w:vAlign w:val="bottom"/>
          </w:tcPr>
          <w:p>
            <w:pPr>
              <w:spacing w:after="0"/>
              <w:rPr>
                <w:color w:val="auto"/>
                <w:sz w:val="22"/>
                <w:szCs w:val="22"/>
                <w:shd w:val="clear" w:color="auto" w:fill="auto"/>
              </w:rPr>
            </w:pPr>
          </w:p>
        </w:tc>
        <w:tc>
          <w:tcPr>
            <w:tcW w:w="2100" w:type="dxa"/>
            <w:tcBorders>
              <w:right w:val="single" w:color="auto" w:sz="8" w:space="0"/>
            </w:tcBorders>
            <w:vAlign w:val="bottom"/>
          </w:tcPr>
          <w:p>
            <w:pPr>
              <w:spacing w:after="0"/>
              <w:rPr>
                <w:color w:val="auto"/>
                <w:sz w:val="22"/>
                <w:szCs w:val="22"/>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分、学籍处理等</w:t>
            </w:r>
          </w:p>
        </w:tc>
        <w:tc>
          <w:tcPr>
            <w:tcW w:w="22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学生申诉处理委员会</w:t>
            </w:r>
          </w:p>
        </w:tc>
        <w:tc>
          <w:tcPr>
            <w:tcW w:w="16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w:t>
            </w:r>
          </w:p>
        </w:tc>
        <w:tc>
          <w:tcPr>
            <w:tcW w:w="210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29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异议</w:t>
            </w:r>
          </w:p>
        </w:tc>
        <w:tc>
          <w:tcPr>
            <w:tcW w:w="2220" w:type="dxa"/>
            <w:tcBorders>
              <w:right w:val="single" w:color="auto" w:sz="8" w:space="0"/>
            </w:tcBorders>
            <w:vAlign w:val="bottom"/>
          </w:tcPr>
          <w:p>
            <w:pPr>
              <w:spacing w:after="0"/>
              <w:rPr>
                <w:color w:val="auto"/>
                <w:sz w:val="24"/>
                <w:szCs w:val="24"/>
                <w:shd w:val="clear" w:color="auto" w:fill="auto"/>
              </w:rPr>
            </w:pPr>
          </w:p>
        </w:tc>
        <w:tc>
          <w:tcPr>
            <w:tcW w:w="1620" w:type="dxa"/>
            <w:tcBorders>
              <w:right w:val="single" w:color="auto" w:sz="8" w:space="0"/>
            </w:tcBorders>
            <w:vAlign w:val="bottom"/>
          </w:tcPr>
          <w:p>
            <w:pPr>
              <w:spacing w:after="0"/>
              <w:rPr>
                <w:color w:val="auto"/>
                <w:sz w:val="24"/>
                <w:szCs w:val="24"/>
                <w:shd w:val="clear" w:color="auto" w:fill="auto"/>
              </w:rPr>
            </w:pPr>
          </w:p>
        </w:tc>
        <w:tc>
          <w:tcPr>
            <w:tcW w:w="21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9" w:hRule="atLeast"/>
        </w:trPr>
        <w:tc>
          <w:tcPr>
            <w:tcW w:w="1200" w:type="dxa"/>
            <w:tcBorders>
              <w:left w:val="single" w:color="auto" w:sz="8" w:space="0"/>
              <w:right w:val="single" w:color="auto" w:sz="8" w:space="0"/>
            </w:tcBorders>
            <w:vAlign w:val="bottom"/>
          </w:tcPr>
          <w:p>
            <w:pPr>
              <w:spacing w:after="0"/>
              <w:rPr>
                <w:color w:val="auto"/>
                <w:sz w:val="4"/>
                <w:szCs w:val="4"/>
                <w:shd w:val="clear" w:color="auto" w:fill="auto"/>
              </w:rPr>
            </w:pP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吉首大学</w:t>
            </w: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教职工就职责权</w:t>
            </w:r>
          </w:p>
        </w:tc>
        <w:tc>
          <w:tcPr>
            <w:tcW w:w="2220" w:type="dxa"/>
            <w:tcBorders>
              <w:right w:val="single" w:color="auto" w:sz="8" w:space="0"/>
            </w:tcBorders>
            <w:vAlign w:val="bottom"/>
          </w:tcPr>
          <w:p>
            <w:pPr>
              <w:spacing w:after="0"/>
              <w:rPr>
                <w:color w:val="auto"/>
                <w:sz w:val="22"/>
                <w:szCs w:val="22"/>
                <w:shd w:val="clear" w:color="auto" w:fill="auto"/>
              </w:rPr>
            </w:pPr>
          </w:p>
        </w:tc>
        <w:tc>
          <w:tcPr>
            <w:tcW w:w="1620" w:type="dxa"/>
            <w:tcBorders>
              <w:right w:val="single" w:color="auto" w:sz="8" w:space="0"/>
            </w:tcBorders>
            <w:vAlign w:val="bottom"/>
          </w:tcPr>
          <w:p>
            <w:pPr>
              <w:spacing w:after="0"/>
              <w:rPr>
                <w:color w:val="auto"/>
                <w:sz w:val="22"/>
                <w:szCs w:val="22"/>
                <w:shd w:val="clear" w:color="auto" w:fill="auto"/>
              </w:rPr>
            </w:pPr>
          </w:p>
        </w:tc>
        <w:tc>
          <w:tcPr>
            <w:tcW w:w="2100" w:type="dxa"/>
            <w:tcBorders>
              <w:right w:val="single" w:color="auto" w:sz="8" w:space="0"/>
            </w:tcBorders>
            <w:vAlign w:val="bottom"/>
          </w:tcPr>
          <w:p>
            <w:pPr>
              <w:spacing w:after="0"/>
              <w:rPr>
                <w:color w:val="auto"/>
                <w:sz w:val="22"/>
                <w:szCs w:val="22"/>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74" w:hRule="atLeast"/>
        </w:trPr>
        <w:tc>
          <w:tcPr>
            <w:tcW w:w="1200" w:type="dxa"/>
            <w:vMerge w:val="continue"/>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tcBorders>
              <w:right w:val="single" w:color="auto" w:sz="8" w:space="0"/>
            </w:tcBorders>
            <w:vAlign w:val="bottom"/>
          </w:tcPr>
          <w:p>
            <w:pPr>
              <w:spacing w:after="0"/>
              <w:rPr>
                <w:color w:val="auto"/>
                <w:sz w:val="6"/>
                <w:szCs w:val="6"/>
                <w:shd w:val="clear" w:color="auto" w:fill="auto"/>
              </w:rPr>
            </w:pPr>
          </w:p>
        </w:tc>
        <w:tc>
          <w:tcPr>
            <w:tcW w:w="2220" w:type="dxa"/>
            <w:tcBorders>
              <w:right w:val="single" w:color="auto" w:sz="8" w:space="0"/>
            </w:tcBorders>
            <w:vAlign w:val="bottom"/>
          </w:tcPr>
          <w:p>
            <w:pPr>
              <w:spacing w:after="0"/>
              <w:rPr>
                <w:color w:val="auto"/>
                <w:sz w:val="6"/>
                <w:szCs w:val="6"/>
                <w:shd w:val="clear" w:color="auto" w:fill="auto"/>
              </w:rPr>
            </w:pPr>
          </w:p>
        </w:tc>
        <w:tc>
          <w:tcPr>
            <w:tcW w:w="1620" w:type="dxa"/>
            <w:tcBorders>
              <w:right w:val="single" w:color="auto" w:sz="8" w:space="0"/>
            </w:tcBorders>
            <w:vAlign w:val="bottom"/>
          </w:tcPr>
          <w:p>
            <w:pPr>
              <w:spacing w:after="0"/>
              <w:rPr>
                <w:color w:val="auto"/>
                <w:sz w:val="6"/>
                <w:szCs w:val="6"/>
                <w:shd w:val="clear" w:color="auto" w:fill="auto"/>
              </w:rPr>
            </w:pPr>
          </w:p>
        </w:tc>
        <w:tc>
          <w:tcPr>
            <w:tcW w:w="2100" w:type="dxa"/>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38"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章程</w:t>
            </w:r>
          </w:p>
        </w:tc>
        <w:tc>
          <w:tcPr>
            <w:tcW w:w="1980" w:type="dxa"/>
            <w:tcBorders>
              <w:right w:val="single" w:color="auto" w:sz="8" w:space="0"/>
            </w:tcBorders>
            <w:vAlign w:val="bottom"/>
          </w:tcPr>
          <w:p>
            <w:pPr>
              <w:spacing w:after="0" w:line="238"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利、聘用、晋升、</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教职工申诉委员会</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3"/>
                <w:sz w:val="22"/>
                <w:szCs w:val="22"/>
                <w:shd w:val="clear" w:color="auto" w:fill="auto"/>
              </w:rPr>
              <w:t>第 40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74" w:hRule="atLeast"/>
        </w:trPr>
        <w:tc>
          <w:tcPr>
            <w:tcW w:w="1200" w:type="dxa"/>
            <w:vMerge w:val="continue"/>
            <w:tcBorders>
              <w:left w:val="single" w:color="auto" w:sz="8" w:space="0"/>
              <w:right w:val="single" w:color="auto" w:sz="8" w:space="0"/>
            </w:tcBorders>
            <w:vAlign w:val="bottom"/>
          </w:tcPr>
          <w:p>
            <w:pPr>
              <w:spacing w:after="0"/>
              <w:rPr>
                <w:color w:val="auto"/>
                <w:sz w:val="6"/>
                <w:szCs w:val="6"/>
                <w:shd w:val="clear" w:color="auto" w:fill="auto"/>
              </w:rPr>
            </w:pPr>
          </w:p>
        </w:tc>
        <w:tc>
          <w:tcPr>
            <w:tcW w:w="1980" w:type="dxa"/>
            <w:tcBorders>
              <w:right w:val="single" w:color="auto" w:sz="8" w:space="0"/>
            </w:tcBorders>
            <w:vAlign w:val="bottom"/>
          </w:tcPr>
          <w:p>
            <w:pPr>
              <w:spacing w:after="0"/>
              <w:rPr>
                <w:color w:val="auto"/>
                <w:sz w:val="6"/>
                <w:szCs w:val="6"/>
                <w:shd w:val="clear" w:color="auto" w:fill="auto"/>
              </w:rPr>
            </w:pPr>
          </w:p>
        </w:tc>
        <w:tc>
          <w:tcPr>
            <w:tcW w:w="2220" w:type="dxa"/>
            <w:vMerge w:val="continue"/>
            <w:tcBorders>
              <w:right w:val="single" w:color="auto" w:sz="8" w:space="0"/>
            </w:tcBorders>
            <w:vAlign w:val="bottom"/>
          </w:tcPr>
          <w:p>
            <w:pPr>
              <w:spacing w:after="0"/>
              <w:rPr>
                <w:color w:val="auto"/>
                <w:sz w:val="6"/>
                <w:szCs w:val="6"/>
                <w:shd w:val="clear" w:color="auto" w:fill="auto"/>
              </w:rPr>
            </w:pPr>
          </w:p>
        </w:tc>
        <w:tc>
          <w:tcPr>
            <w:tcW w:w="1620" w:type="dxa"/>
            <w:vMerge w:val="continue"/>
            <w:tcBorders>
              <w:right w:val="single" w:color="auto" w:sz="8" w:space="0"/>
            </w:tcBorders>
            <w:vAlign w:val="bottom"/>
          </w:tcPr>
          <w:p>
            <w:pPr>
              <w:spacing w:after="0"/>
              <w:rPr>
                <w:color w:val="auto"/>
                <w:sz w:val="6"/>
                <w:szCs w:val="6"/>
                <w:shd w:val="clear" w:color="auto" w:fill="auto"/>
              </w:rPr>
            </w:pPr>
          </w:p>
        </w:tc>
        <w:tc>
          <w:tcPr>
            <w:tcW w:w="2100" w:type="dxa"/>
            <w:vMerge w:val="continue"/>
            <w:tcBorders>
              <w:right w:val="single" w:color="auto" w:sz="8" w:space="0"/>
            </w:tcBorders>
            <w:vAlign w:val="bottom"/>
          </w:tcPr>
          <w:p>
            <w:pPr>
              <w:spacing w:after="0"/>
              <w:rPr>
                <w:color w:val="auto"/>
                <w:sz w:val="6"/>
                <w:szCs w:val="6"/>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82" w:hRule="atLeast"/>
        </w:trPr>
        <w:tc>
          <w:tcPr>
            <w:tcW w:w="1200" w:type="dxa"/>
            <w:tcBorders>
              <w:left w:val="single" w:color="auto" w:sz="8" w:space="0"/>
              <w:right w:val="single" w:color="auto" w:sz="8" w:space="0"/>
            </w:tcBorders>
            <w:vAlign w:val="bottom"/>
          </w:tcPr>
          <w:p>
            <w:pPr>
              <w:spacing w:after="0"/>
              <w:rPr>
                <w:color w:val="auto"/>
                <w:sz w:val="7"/>
                <w:szCs w:val="7"/>
                <w:shd w:val="clear" w:color="auto" w:fill="auto"/>
              </w:rPr>
            </w:pPr>
          </w:p>
        </w:tc>
        <w:tc>
          <w:tcPr>
            <w:tcW w:w="1980" w:type="dxa"/>
            <w:vMerge w:val="restart"/>
            <w:tcBorders>
              <w:right w:val="single" w:color="auto" w:sz="8" w:space="0"/>
            </w:tcBorders>
            <w:vAlign w:val="bottom"/>
          </w:tcPr>
          <w:p>
            <w:pPr>
              <w:spacing w:after="0" w:line="238"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福利待遇、奖惩等</w:t>
            </w:r>
          </w:p>
        </w:tc>
        <w:tc>
          <w:tcPr>
            <w:tcW w:w="2220" w:type="dxa"/>
            <w:vMerge w:val="continue"/>
            <w:tcBorders>
              <w:right w:val="single" w:color="auto" w:sz="8" w:space="0"/>
            </w:tcBorders>
            <w:vAlign w:val="bottom"/>
          </w:tcPr>
          <w:p>
            <w:pPr>
              <w:spacing w:after="0"/>
              <w:rPr>
                <w:color w:val="auto"/>
                <w:sz w:val="7"/>
                <w:szCs w:val="7"/>
                <w:shd w:val="clear" w:color="auto" w:fill="auto"/>
              </w:rPr>
            </w:pPr>
          </w:p>
        </w:tc>
        <w:tc>
          <w:tcPr>
            <w:tcW w:w="1620" w:type="dxa"/>
            <w:vMerge w:val="continue"/>
            <w:tcBorders>
              <w:right w:val="single" w:color="auto" w:sz="8" w:space="0"/>
            </w:tcBorders>
            <w:vAlign w:val="bottom"/>
          </w:tcPr>
          <w:p>
            <w:pPr>
              <w:spacing w:after="0"/>
              <w:rPr>
                <w:color w:val="auto"/>
                <w:sz w:val="7"/>
                <w:szCs w:val="7"/>
                <w:shd w:val="clear" w:color="auto" w:fill="auto"/>
              </w:rPr>
            </w:pPr>
          </w:p>
        </w:tc>
        <w:tc>
          <w:tcPr>
            <w:tcW w:w="2100" w:type="dxa"/>
            <w:vMerge w:val="continue"/>
            <w:tcBorders>
              <w:right w:val="single" w:color="auto" w:sz="8" w:space="0"/>
            </w:tcBorders>
            <w:vAlign w:val="bottom"/>
          </w:tcPr>
          <w:p>
            <w:pPr>
              <w:spacing w:after="0"/>
              <w:rPr>
                <w:color w:val="auto"/>
                <w:sz w:val="7"/>
                <w:szCs w:val="7"/>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与学校发生争议</w:t>
            </w:r>
          </w:p>
        </w:tc>
        <w:tc>
          <w:tcPr>
            <w:tcW w:w="2220" w:type="dxa"/>
            <w:tcBorders>
              <w:right w:val="single" w:color="auto" w:sz="8" w:space="0"/>
            </w:tcBorders>
            <w:vAlign w:val="bottom"/>
          </w:tcPr>
          <w:p>
            <w:pPr>
              <w:spacing w:after="0"/>
              <w:rPr>
                <w:color w:val="auto"/>
                <w:sz w:val="24"/>
                <w:szCs w:val="24"/>
                <w:shd w:val="clear" w:color="auto" w:fill="auto"/>
              </w:rPr>
            </w:pPr>
          </w:p>
        </w:tc>
        <w:tc>
          <w:tcPr>
            <w:tcW w:w="1620" w:type="dxa"/>
            <w:tcBorders>
              <w:right w:val="single" w:color="auto" w:sz="8" w:space="0"/>
            </w:tcBorders>
            <w:vAlign w:val="bottom"/>
          </w:tcPr>
          <w:p>
            <w:pPr>
              <w:spacing w:after="0"/>
              <w:rPr>
                <w:color w:val="auto"/>
                <w:sz w:val="24"/>
                <w:szCs w:val="24"/>
                <w:shd w:val="clear" w:color="auto" w:fill="auto"/>
              </w:rPr>
            </w:pPr>
          </w:p>
        </w:tc>
        <w:tc>
          <w:tcPr>
            <w:tcW w:w="21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8" w:hRule="atLeast"/>
        </w:trPr>
        <w:tc>
          <w:tcPr>
            <w:tcW w:w="1200" w:type="dxa"/>
            <w:tcBorders>
              <w:left w:val="single" w:color="auto" w:sz="8" w:space="0"/>
              <w:right w:val="single" w:color="auto" w:sz="8" w:space="0"/>
            </w:tcBorders>
            <w:vAlign w:val="bottom"/>
          </w:tcPr>
          <w:p>
            <w:pPr>
              <w:spacing w:after="0"/>
              <w:rPr>
                <w:color w:val="auto"/>
                <w:sz w:val="4"/>
                <w:szCs w:val="4"/>
                <w:shd w:val="clear" w:color="auto" w:fill="auto"/>
              </w:rPr>
            </w:pP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34"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学术争议</w:t>
            </w:r>
          </w:p>
        </w:tc>
        <w:tc>
          <w:tcPr>
            <w:tcW w:w="22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学术委员会</w:t>
            </w:r>
          </w:p>
        </w:tc>
        <w:tc>
          <w:tcPr>
            <w:tcW w:w="162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裁决</w:t>
            </w:r>
          </w:p>
        </w:tc>
        <w:tc>
          <w:tcPr>
            <w:tcW w:w="210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46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30" w:hRule="atLeast"/>
        </w:trPr>
        <w:tc>
          <w:tcPr>
            <w:tcW w:w="1200" w:type="dxa"/>
            <w:tcBorders>
              <w:left w:val="single" w:color="auto" w:sz="8" w:space="0"/>
              <w:bottom w:val="single" w:color="auto" w:sz="8" w:space="0"/>
              <w:right w:val="single" w:color="auto" w:sz="8" w:space="0"/>
            </w:tcBorders>
            <w:vAlign w:val="bottom"/>
          </w:tcPr>
          <w:p>
            <w:pPr>
              <w:spacing w:after="0"/>
              <w:rPr>
                <w:color w:val="auto"/>
                <w:sz w:val="11"/>
                <w:szCs w:val="11"/>
                <w:shd w:val="clear" w:color="auto" w:fill="auto"/>
              </w:rPr>
            </w:pPr>
          </w:p>
        </w:tc>
        <w:tc>
          <w:tcPr>
            <w:tcW w:w="198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22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62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1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right w:val="single" w:color="auto" w:sz="8" w:space="0"/>
            </w:tcBorders>
            <w:vAlign w:val="bottom"/>
          </w:tcPr>
          <w:p>
            <w:pPr>
              <w:spacing w:after="0"/>
              <w:rPr>
                <w:color w:val="auto"/>
                <w:sz w:val="22"/>
                <w:szCs w:val="22"/>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教职工就职务聘</w:t>
            </w:r>
          </w:p>
        </w:tc>
        <w:tc>
          <w:tcPr>
            <w:tcW w:w="2220" w:type="dxa"/>
            <w:tcBorders>
              <w:right w:val="single" w:color="auto" w:sz="8" w:space="0"/>
            </w:tcBorders>
            <w:vAlign w:val="bottom"/>
          </w:tcPr>
          <w:p>
            <w:pPr>
              <w:spacing w:after="0"/>
              <w:rPr>
                <w:color w:val="auto"/>
                <w:sz w:val="22"/>
                <w:szCs w:val="22"/>
                <w:shd w:val="clear" w:color="auto" w:fill="auto"/>
              </w:rPr>
            </w:pPr>
          </w:p>
        </w:tc>
        <w:tc>
          <w:tcPr>
            <w:tcW w:w="1620" w:type="dxa"/>
            <w:tcBorders>
              <w:right w:val="single" w:color="auto" w:sz="8" w:space="0"/>
            </w:tcBorders>
            <w:vAlign w:val="bottom"/>
          </w:tcPr>
          <w:p>
            <w:pPr>
              <w:spacing w:after="0"/>
              <w:rPr>
                <w:color w:val="auto"/>
                <w:sz w:val="22"/>
                <w:szCs w:val="22"/>
                <w:shd w:val="clear" w:color="auto" w:fill="auto"/>
              </w:rPr>
            </w:pPr>
          </w:p>
        </w:tc>
        <w:tc>
          <w:tcPr>
            <w:tcW w:w="2100" w:type="dxa"/>
            <w:tcBorders>
              <w:right w:val="single" w:color="auto" w:sz="8" w:space="0"/>
            </w:tcBorders>
            <w:vAlign w:val="bottom"/>
          </w:tcPr>
          <w:p>
            <w:pPr>
              <w:spacing w:after="0"/>
              <w:rPr>
                <w:color w:val="auto"/>
                <w:sz w:val="22"/>
                <w:szCs w:val="22"/>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用、福利待遇、评</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第 40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优评奖、纪律处分</w:t>
            </w:r>
          </w:p>
        </w:tc>
        <w:tc>
          <w:tcPr>
            <w:tcW w:w="2220" w:type="dxa"/>
            <w:vMerge w:val="continue"/>
            <w:tcBorders>
              <w:right w:val="single" w:color="auto" w:sz="8" w:space="0"/>
            </w:tcBorders>
            <w:vAlign w:val="bottom"/>
          </w:tcPr>
          <w:p>
            <w:pPr>
              <w:spacing w:after="0"/>
              <w:rPr>
                <w:color w:val="auto"/>
                <w:sz w:val="13"/>
                <w:szCs w:val="13"/>
                <w:shd w:val="clear" w:color="auto" w:fill="auto"/>
              </w:rPr>
            </w:pPr>
          </w:p>
        </w:tc>
        <w:tc>
          <w:tcPr>
            <w:tcW w:w="1620" w:type="dxa"/>
            <w:vMerge w:val="continue"/>
            <w:tcBorders>
              <w:right w:val="single" w:color="auto" w:sz="8" w:space="0"/>
            </w:tcBorders>
            <w:vAlign w:val="bottom"/>
          </w:tcPr>
          <w:p>
            <w:pPr>
              <w:spacing w:after="0"/>
              <w:rPr>
                <w:color w:val="auto"/>
                <w:sz w:val="13"/>
                <w:szCs w:val="13"/>
                <w:shd w:val="clear" w:color="auto" w:fill="auto"/>
              </w:rPr>
            </w:pPr>
          </w:p>
        </w:tc>
        <w:tc>
          <w:tcPr>
            <w:tcW w:w="21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湖南师范</w:t>
            </w: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等事项发生争议</w:t>
            </w:r>
          </w:p>
        </w:tc>
        <w:tc>
          <w:tcPr>
            <w:tcW w:w="2220" w:type="dxa"/>
            <w:tcBorders>
              <w:right w:val="single" w:color="auto" w:sz="8" w:space="0"/>
            </w:tcBorders>
            <w:vAlign w:val="bottom"/>
          </w:tcPr>
          <w:p>
            <w:pPr>
              <w:spacing w:after="0"/>
              <w:rPr>
                <w:color w:val="auto"/>
                <w:sz w:val="24"/>
                <w:szCs w:val="24"/>
                <w:shd w:val="clear" w:color="auto" w:fill="auto"/>
              </w:rPr>
            </w:pPr>
          </w:p>
        </w:tc>
        <w:tc>
          <w:tcPr>
            <w:tcW w:w="1620" w:type="dxa"/>
            <w:tcBorders>
              <w:right w:val="single" w:color="auto" w:sz="8" w:space="0"/>
            </w:tcBorders>
            <w:vAlign w:val="bottom"/>
          </w:tcPr>
          <w:p>
            <w:pPr>
              <w:spacing w:after="0"/>
              <w:rPr>
                <w:color w:val="auto"/>
                <w:sz w:val="24"/>
                <w:szCs w:val="24"/>
                <w:shd w:val="clear" w:color="auto" w:fill="auto"/>
              </w:rPr>
            </w:pPr>
          </w:p>
        </w:tc>
        <w:tc>
          <w:tcPr>
            <w:tcW w:w="21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8" w:hRule="atLeast"/>
        </w:trPr>
        <w:tc>
          <w:tcPr>
            <w:tcW w:w="1200" w:type="dxa"/>
            <w:vMerge w:val="restart"/>
            <w:tcBorders>
              <w:left w:val="single" w:color="auto" w:sz="8" w:space="0"/>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大学章程</w:t>
            </w: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4" w:hRule="atLeast"/>
        </w:trPr>
        <w:tc>
          <w:tcPr>
            <w:tcW w:w="1200" w:type="dxa"/>
            <w:vMerge w:val="continue"/>
            <w:tcBorders>
              <w:left w:val="single" w:color="auto" w:sz="8" w:space="0"/>
              <w:right w:val="single" w:color="auto" w:sz="8" w:space="0"/>
            </w:tcBorders>
            <w:vAlign w:val="bottom"/>
          </w:tcPr>
          <w:p>
            <w:pPr>
              <w:spacing w:after="0"/>
              <w:rPr>
                <w:color w:val="auto"/>
                <w:sz w:val="22"/>
                <w:szCs w:val="22"/>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对学校给予的处分</w:t>
            </w:r>
          </w:p>
        </w:tc>
        <w:tc>
          <w:tcPr>
            <w:tcW w:w="2220" w:type="dxa"/>
            <w:tcBorders>
              <w:right w:val="single" w:color="auto" w:sz="8" w:space="0"/>
            </w:tcBorders>
            <w:vAlign w:val="bottom"/>
          </w:tcPr>
          <w:p>
            <w:pPr>
              <w:spacing w:after="0"/>
              <w:rPr>
                <w:color w:val="auto"/>
                <w:sz w:val="22"/>
                <w:szCs w:val="22"/>
                <w:shd w:val="clear" w:color="auto" w:fill="auto"/>
              </w:rPr>
            </w:pPr>
          </w:p>
        </w:tc>
        <w:tc>
          <w:tcPr>
            <w:tcW w:w="1620" w:type="dxa"/>
            <w:tcBorders>
              <w:right w:val="single" w:color="auto" w:sz="8" w:space="0"/>
            </w:tcBorders>
            <w:vAlign w:val="bottom"/>
          </w:tcPr>
          <w:p>
            <w:pPr>
              <w:spacing w:after="0"/>
              <w:rPr>
                <w:color w:val="auto"/>
                <w:sz w:val="22"/>
                <w:szCs w:val="22"/>
                <w:shd w:val="clear" w:color="auto" w:fill="auto"/>
              </w:rPr>
            </w:pPr>
          </w:p>
        </w:tc>
        <w:tc>
          <w:tcPr>
            <w:tcW w:w="2100" w:type="dxa"/>
            <w:tcBorders>
              <w:right w:val="single" w:color="auto" w:sz="8" w:space="0"/>
            </w:tcBorders>
            <w:vAlign w:val="bottom"/>
          </w:tcPr>
          <w:p>
            <w:pPr>
              <w:spacing w:after="0"/>
              <w:rPr>
                <w:color w:val="auto"/>
                <w:sz w:val="22"/>
                <w:szCs w:val="22"/>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ind w:left="100"/>
              <w:rPr>
                <w:color w:val="auto"/>
                <w:sz w:val="20"/>
                <w:szCs w:val="20"/>
                <w:shd w:val="clear" w:color="auto" w:fill="auto"/>
              </w:rPr>
            </w:pPr>
            <w:r>
              <w:rPr>
                <w:rFonts w:ascii="宋体" w:hAnsi="宋体" w:eastAsia="宋体" w:cs="宋体"/>
                <w:color w:val="auto"/>
                <w:w w:val="92"/>
                <w:sz w:val="22"/>
                <w:szCs w:val="22"/>
                <w:shd w:val="clear" w:color="auto" w:fill="auto"/>
              </w:rPr>
              <w:t>或者处理，对学校、</w:t>
            </w:r>
          </w:p>
        </w:tc>
        <w:tc>
          <w:tcPr>
            <w:tcW w:w="22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学校或司法机关</w:t>
            </w:r>
          </w:p>
        </w:tc>
        <w:tc>
          <w:tcPr>
            <w:tcW w:w="162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申诉诉讼</w:t>
            </w:r>
          </w:p>
        </w:tc>
        <w:tc>
          <w:tcPr>
            <w:tcW w:w="210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88"/>
                <w:sz w:val="22"/>
                <w:szCs w:val="22"/>
                <w:shd w:val="clear" w:color="auto" w:fill="auto"/>
              </w:rPr>
              <w:t>第 48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restart"/>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教职工侵犯其人</w:t>
            </w:r>
          </w:p>
        </w:tc>
        <w:tc>
          <w:tcPr>
            <w:tcW w:w="2220" w:type="dxa"/>
            <w:vMerge w:val="continue"/>
            <w:tcBorders>
              <w:right w:val="single" w:color="auto" w:sz="8" w:space="0"/>
            </w:tcBorders>
            <w:vAlign w:val="bottom"/>
          </w:tcPr>
          <w:p>
            <w:pPr>
              <w:spacing w:after="0"/>
              <w:rPr>
                <w:color w:val="auto"/>
                <w:sz w:val="13"/>
                <w:szCs w:val="13"/>
                <w:shd w:val="clear" w:color="auto" w:fill="auto"/>
              </w:rPr>
            </w:pPr>
          </w:p>
        </w:tc>
        <w:tc>
          <w:tcPr>
            <w:tcW w:w="1620" w:type="dxa"/>
            <w:vMerge w:val="continue"/>
            <w:tcBorders>
              <w:right w:val="single" w:color="auto" w:sz="8" w:space="0"/>
            </w:tcBorders>
            <w:vAlign w:val="bottom"/>
          </w:tcPr>
          <w:p>
            <w:pPr>
              <w:spacing w:after="0"/>
              <w:rPr>
                <w:color w:val="auto"/>
                <w:sz w:val="13"/>
                <w:szCs w:val="13"/>
                <w:shd w:val="clear" w:color="auto" w:fill="auto"/>
              </w:rPr>
            </w:pPr>
          </w:p>
        </w:tc>
        <w:tc>
          <w:tcPr>
            <w:tcW w:w="21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20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1980" w:type="dxa"/>
            <w:vMerge w:val="continue"/>
            <w:tcBorders>
              <w:right w:val="single" w:color="auto" w:sz="8" w:space="0"/>
            </w:tcBorders>
            <w:vAlign w:val="bottom"/>
          </w:tcPr>
          <w:p>
            <w:pPr>
              <w:spacing w:after="0"/>
              <w:rPr>
                <w:color w:val="auto"/>
                <w:sz w:val="13"/>
                <w:szCs w:val="13"/>
                <w:shd w:val="clear" w:color="auto" w:fill="auto"/>
              </w:rPr>
            </w:pPr>
          </w:p>
        </w:tc>
        <w:tc>
          <w:tcPr>
            <w:tcW w:w="2220" w:type="dxa"/>
            <w:tcBorders>
              <w:right w:val="single" w:color="auto" w:sz="8" w:space="0"/>
            </w:tcBorders>
            <w:vAlign w:val="bottom"/>
          </w:tcPr>
          <w:p>
            <w:pPr>
              <w:spacing w:after="0"/>
              <w:rPr>
                <w:color w:val="auto"/>
                <w:sz w:val="13"/>
                <w:szCs w:val="13"/>
                <w:shd w:val="clear" w:color="auto" w:fill="auto"/>
              </w:rPr>
            </w:pPr>
          </w:p>
        </w:tc>
        <w:tc>
          <w:tcPr>
            <w:tcW w:w="1620" w:type="dxa"/>
            <w:tcBorders>
              <w:right w:val="single" w:color="auto" w:sz="8" w:space="0"/>
            </w:tcBorders>
            <w:vAlign w:val="bottom"/>
          </w:tcPr>
          <w:p>
            <w:pPr>
              <w:spacing w:after="0"/>
              <w:rPr>
                <w:color w:val="auto"/>
                <w:sz w:val="13"/>
                <w:szCs w:val="13"/>
                <w:shd w:val="clear" w:color="auto" w:fill="auto"/>
              </w:rPr>
            </w:pPr>
          </w:p>
        </w:tc>
        <w:tc>
          <w:tcPr>
            <w:tcW w:w="21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20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1980" w:type="dxa"/>
            <w:tcBorders>
              <w:right w:val="single" w:color="auto" w:sz="8" w:space="0"/>
            </w:tcBorders>
            <w:vAlign w:val="bottom"/>
          </w:tcPr>
          <w:p>
            <w:pPr>
              <w:spacing w:after="0" w:line="251" w:lineRule="exact"/>
              <w:jc w:val="center"/>
              <w:rPr>
                <w:color w:val="auto"/>
                <w:sz w:val="20"/>
                <w:szCs w:val="20"/>
                <w:shd w:val="clear" w:color="auto" w:fill="auto"/>
              </w:rPr>
            </w:pPr>
            <w:r>
              <w:rPr>
                <w:rFonts w:ascii="宋体" w:hAnsi="宋体" w:eastAsia="宋体" w:cs="宋体"/>
                <w:color w:val="auto"/>
                <w:w w:val="99"/>
                <w:sz w:val="22"/>
                <w:szCs w:val="22"/>
                <w:shd w:val="clear" w:color="auto" w:fill="auto"/>
              </w:rPr>
              <w:t>身、财产权益行为</w:t>
            </w:r>
          </w:p>
        </w:tc>
        <w:tc>
          <w:tcPr>
            <w:tcW w:w="2220" w:type="dxa"/>
            <w:tcBorders>
              <w:right w:val="single" w:color="auto" w:sz="8" w:space="0"/>
            </w:tcBorders>
            <w:vAlign w:val="bottom"/>
          </w:tcPr>
          <w:p>
            <w:pPr>
              <w:spacing w:after="0"/>
              <w:rPr>
                <w:color w:val="auto"/>
                <w:sz w:val="24"/>
                <w:szCs w:val="24"/>
                <w:shd w:val="clear" w:color="auto" w:fill="auto"/>
              </w:rPr>
            </w:pPr>
          </w:p>
        </w:tc>
        <w:tc>
          <w:tcPr>
            <w:tcW w:w="1620" w:type="dxa"/>
            <w:tcBorders>
              <w:right w:val="single" w:color="auto" w:sz="8" w:space="0"/>
            </w:tcBorders>
            <w:vAlign w:val="bottom"/>
          </w:tcPr>
          <w:p>
            <w:pPr>
              <w:spacing w:after="0"/>
              <w:rPr>
                <w:color w:val="auto"/>
                <w:sz w:val="24"/>
                <w:szCs w:val="24"/>
                <w:shd w:val="clear" w:color="auto" w:fill="auto"/>
              </w:rPr>
            </w:pPr>
          </w:p>
        </w:tc>
        <w:tc>
          <w:tcPr>
            <w:tcW w:w="21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49" w:hRule="atLeast"/>
        </w:trPr>
        <w:tc>
          <w:tcPr>
            <w:tcW w:w="120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1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1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210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bl>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line="274" w:lineRule="exact"/>
        <w:ind w:left="380"/>
        <w:rPr>
          <w:color w:val="auto"/>
          <w:sz w:val="20"/>
          <w:szCs w:val="20"/>
          <w:shd w:val="clear" w:color="auto" w:fill="auto"/>
        </w:rPr>
      </w:pPr>
      <w:r>
        <w:rPr>
          <w:rFonts w:ascii="楷体" w:hAnsi="楷体" w:eastAsia="楷体" w:cs="楷体"/>
          <w:b/>
          <w:bCs/>
          <w:color w:val="auto"/>
          <w:sz w:val="24"/>
          <w:szCs w:val="24"/>
          <w:shd w:val="clear" w:color="auto" w:fill="auto"/>
        </w:rPr>
        <w:t>（三）程序机制规定</w:t>
      </w:r>
    </w:p>
    <w:p>
      <w:pPr>
        <w:spacing w:after="0" w:line="194" w:lineRule="exact"/>
        <w:rPr>
          <w:color w:val="auto"/>
          <w:sz w:val="20"/>
          <w:szCs w:val="20"/>
          <w:shd w:val="clear" w:color="auto" w:fill="auto"/>
        </w:rPr>
      </w:pPr>
    </w:p>
    <w:p>
      <w:pPr>
        <w:spacing w:after="0" w:line="263" w:lineRule="exact"/>
        <w:ind w:left="500"/>
        <w:rPr>
          <w:color w:val="auto"/>
          <w:sz w:val="20"/>
          <w:szCs w:val="20"/>
          <w:shd w:val="clear" w:color="auto" w:fill="auto"/>
        </w:rPr>
      </w:pPr>
      <w:r>
        <w:rPr>
          <w:rFonts w:ascii="宋体" w:hAnsi="宋体" w:eastAsia="宋体" w:cs="宋体"/>
          <w:color w:val="auto"/>
          <w:sz w:val="23"/>
          <w:szCs w:val="23"/>
          <w:shd w:val="clear" w:color="auto" w:fill="auto"/>
        </w:rPr>
        <w:t>当前，我国所有公立高校章程对实施中的适用程序、监督程序等都缺乏规定，大多</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只概括规定了修改的程序（见表 3）。正如有学者所言，“我国大学章程的实施，缺乏严</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密而细致的程序规范，尤其对大学章程执行、修改等，并没有给予详实、可操作性强的</w:t>
      </w:r>
    </w:p>
    <w:p>
      <w:pPr>
        <w:spacing w:after="0" w:line="210" w:lineRule="exact"/>
        <w:rPr>
          <w:color w:val="auto"/>
          <w:sz w:val="20"/>
          <w:szCs w:val="20"/>
          <w:shd w:val="clear" w:color="auto" w:fill="auto"/>
        </w:rPr>
      </w:pPr>
    </w:p>
    <w:p>
      <w:pPr>
        <w:spacing w:after="0" w:line="251" w:lineRule="exact"/>
        <w:ind w:left="20"/>
        <w:rPr>
          <w:color w:val="auto"/>
          <w:sz w:val="20"/>
          <w:szCs w:val="20"/>
          <w:shd w:val="clear" w:color="auto" w:fill="auto"/>
        </w:rPr>
      </w:pPr>
      <w:r>
        <w:rPr>
          <w:rFonts w:ascii="宋体" w:hAnsi="宋体" w:eastAsia="宋体" w:cs="宋体"/>
          <w:color w:val="auto"/>
          <w:sz w:val="22"/>
          <w:szCs w:val="22"/>
          <w:shd w:val="clear" w:color="auto" w:fill="auto"/>
        </w:rPr>
        <w:t>程序规定。”</w:t>
      </w:r>
      <w:r>
        <w:rPr>
          <w:rFonts w:ascii="宋体" w:hAnsi="宋体" w:eastAsia="宋体" w:cs="宋体"/>
          <w:color w:val="auto"/>
          <w:sz w:val="22"/>
          <w:szCs w:val="22"/>
          <w:shd w:val="clear" w:color="auto" w:fill="auto"/>
          <w:vertAlign w:val="superscript"/>
        </w:rPr>
        <w:t>［2］</w:t>
      </w:r>
      <w:r>
        <w:rPr>
          <w:rFonts w:ascii="宋体" w:hAnsi="宋体" w:eastAsia="宋体" w:cs="宋体"/>
          <w:color w:val="auto"/>
          <w:sz w:val="22"/>
          <w:szCs w:val="22"/>
          <w:shd w:val="clear" w:color="auto" w:fill="auto"/>
        </w:rPr>
        <w:t>虽然大部分公立高校对章程修改程序进行了规定，但并没有对章程修改程</w:t>
      </w:r>
    </w:p>
    <w:p>
      <w:pPr>
        <w:spacing w:after="0" w:line="211"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序的启动条件、通过要求等进行规定。 如北京大学章程第 54 条规定：“本章程经学校</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教代会讨论、校务委员会审议、校长办公会议审议、校党委审定后，由校长签发，报上</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级核准。 本章程修订按前款程序办理。”吉林大学章程第 93 条规定：“本章程的修订</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由学校党委常委会提出，校长办公会议拟定修改草案，经教职工代表大会讨论，广泛征</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求师生员工意见后，由学校党委会审定，报教育部核准。”我国公立高校章程程序性条</w:t>
      </w:r>
    </w:p>
    <w:p>
      <w:pPr>
        <w:spacing w:after="0" w:line="204" w:lineRule="exact"/>
        <w:rPr>
          <w:color w:val="auto"/>
          <w:sz w:val="20"/>
          <w:szCs w:val="20"/>
          <w:shd w:val="clear" w:color="auto" w:fill="auto"/>
        </w:rPr>
      </w:pPr>
    </w:p>
    <w:p>
      <w:pPr>
        <w:spacing w:after="0" w:line="263" w:lineRule="exact"/>
        <w:ind w:left="20"/>
        <w:rPr>
          <w:color w:val="auto"/>
          <w:sz w:val="20"/>
          <w:szCs w:val="20"/>
          <w:shd w:val="clear" w:color="auto" w:fill="auto"/>
        </w:rPr>
      </w:pPr>
      <w:r>
        <w:rPr>
          <w:rFonts w:ascii="宋体" w:hAnsi="宋体" w:eastAsia="宋体" w:cs="宋体"/>
          <w:color w:val="auto"/>
          <w:sz w:val="23"/>
          <w:szCs w:val="23"/>
          <w:shd w:val="clear" w:color="auto" w:fill="auto"/>
        </w:rPr>
        <w:t>款的匮乏，“尽管不致使得高校管理权无从行使， 但至少是未遵从法定程序行使。 一</w:t>
      </w:r>
    </w:p>
    <w:p>
      <w:pPr>
        <w:spacing w:after="0" w:line="193" w:lineRule="exact"/>
        <w:rPr>
          <w:color w:val="auto"/>
          <w:sz w:val="20"/>
          <w:szCs w:val="20"/>
          <w:shd w:val="clear" w:color="auto" w:fill="auto"/>
        </w:rPr>
      </w:pPr>
    </w:p>
    <w:p>
      <w:pPr>
        <w:spacing w:after="0" w:line="274" w:lineRule="exact"/>
        <w:ind w:left="20"/>
        <w:rPr>
          <w:color w:val="auto"/>
          <w:sz w:val="20"/>
          <w:szCs w:val="20"/>
          <w:shd w:val="clear" w:color="auto" w:fill="auto"/>
        </w:rPr>
      </w:pPr>
      <w:r>
        <w:rPr>
          <w:rFonts w:ascii="宋体" w:hAnsi="宋体" w:eastAsia="宋体" w:cs="宋体"/>
          <w:color w:val="auto"/>
          <w:sz w:val="24"/>
          <w:szCs w:val="24"/>
          <w:shd w:val="clear" w:color="auto" w:fill="auto"/>
        </w:rPr>
        <w:t>旦章程内容侵犯师生合法权益，</w:t>
      </w:r>
    </w:p>
    <w:p>
      <w:pPr>
        <w:spacing w:after="0" w:line="158"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18</w:t>
      </w:r>
    </w:p>
    <w:p>
      <w:pPr>
        <w:rPr>
          <w:shd w:val="clear" w:color="auto" w:fill="auto"/>
        </w:rPr>
        <w:sectPr>
          <w:pgSz w:w="11900" w:h="16840"/>
          <w:pgMar w:top="1398" w:right="1384" w:bottom="587" w:left="1400" w:header="0" w:footer="0" w:gutter="0"/>
          <w:cols w:equalWidth="0" w:num="1">
            <w:col w:w="9120"/>
          </w:cols>
        </w:sectPr>
      </w:pPr>
    </w:p>
    <w:p>
      <w:pPr>
        <w:spacing w:after="0" w:line="274" w:lineRule="exact"/>
        <w:ind w:left="520"/>
        <w:rPr>
          <w:color w:val="auto"/>
          <w:sz w:val="20"/>
          <w:szCs w:val="20"/>
          <w:shd w:val="clear" w:color="auto" w:fill="auto"/>
        </w:rPr>
      </w:pPr>
      <w:bookmarkStart w:id="21" w:name="page21"/>
      <w:bookmarkEnd w:id="21"/>
      <w:r>
        <w:rPr>
          <w:rFonts w:ascii="宋体" w:hAnsi="宋体" w:eastAsia="宋体" w:cs="宋体"/>
          <w:color w:val="auto"/>
          <w:sz w:val="24"/>
          <w:szCs w:val="24"/>
          <w:shd w:val="clear" w:color="auto" w:fill="auto"/>
        </w:rPr>
        <w:t>后者则可以程序性权利抗辩为由，令高校在诉讼或复议中处于被动局面； 且程序</w:t>
      </w:r>
    </w:p>
    <w:p>
      <w:pPr>
        <w:spacing w:after="0" w:line="210" w:lineRule="exact"/>
        <w:rPr>
          <w:color w:val="auto"/>
          <w:sz w:val="20"/>
          <w:szCs w:val="20"/>
          <w:shd w:val="clear" w:color="auto" w:fill="auto"/>
        </w:rPr>
      </w:pPr>
    </w:p>
    <w:p>
      <w:pPr>
        <w:spacing w:after="0" w:line="263" w:lineRule="exact"/>
        <w:ind w:left="40"/>
        <w:rPr>
          <w:color w:val="auto"/>
          <w:sz w:val="20"/>
          <w:szCs w:val="20"/>
          <w:shd w:val="clear" w:color="auto" w:fill="auto"/>
        </w:rPr>
      </w:pPr>
      <w:r>
        <w:rPr>
          <w:rFonts w:ascii="宋体" w:hAnsi="宋体" w:eastAsia="宋体" w:cs="宋体"/>
          <w:color w:val="auto"/>
          <w:sz w:val="23"/>
          <w:szCs w:val="23"/>
          <w:shd w:val="clear" w:color="auto" w:fill="auto"/>
        </w:rPr>
        <w:t>性规定的欠缺，在规范意义上将使得章程丧失一定的正当性、民主性基础。”</w:t>
      </w:r>
      <w:r>
        <w:rPr>
          <w:rFonts w:ascii="宋体" w:hAnsi="宋体" w:eastAsia="宋体" w:cs="宋体"/>
          <w:color w:val="auto"/>
          <w:sz w:val="23"/>
          <w:szCs w:val="23"/>
          <w:shd w:val="clear" w:color="auto" w:fill="auto"/>
          <w:vertAlign w:val="superscript"/>
        </w:rPr>
        <w:t>［3］</w:t>
      </w:r>
      <w:r>
        <w:rPr>
          <w:rFonts w:ascii="宋体" w:hAnsi="宋体" w:eastAsia="宋体" w:cs="宋体"/>
          <w:color w:val="auto"/>
          <w:sz w:val="23"/>
          <w:szCs w:val="23"/>
          <w:shd w:val="clear" w:color="auto" w:fill="auto"/>
        </w:rPr>
        <w:t>完善章程</w:t>
      </w:r>
    </w:p>
    <w:p>
      <w:pPr>
        <w:spacing w:after="0" w:line="188" w:lineRule="exact"/>
        <w:rPr>
          <w:color w:val="auto"/>
          <w:sz w:val="20"/>
          <w:szCs w:val="20"/>
          <w:shd w:val="clear" w:color="auto" w:fill="auto"/>
        </w:rPr>
      </w:pPr>
    </w:p>
    <w:p>
      <w:pPr>
        <w:spacing w:after="0" w:line="274" w:lineRule="exact"/>
        <w:ind w:left="40"/>
        <w:rPr>
          <w:color w:val="auto"/>
          <w:sz w:val="20"/>
          <w:szCs w:val="20"/>
          <w:shd w:val="clear" w:color="auto" w:fill="auto"/>
        </w:rPr>
      </w:pPr>
      <w:r>
        <w:rPr>
          <w:rFonts w:ascii="宋体" w:hAnsi="宋体" w:eastAsia="宋体" w:cs="宋体"/>
          <w:color w:val="auto"/>
          <w:sz w:val="24"/>
          <w:szCs w:val="24"/>
          <w:shd w:val="clear" w:color="auto" w:fill="auto"/>
        </w:rPr>
        <w:t>实施的规定是我国公立高校章程实施机制完善的重要内容。</w:t>
      </w:r>
    </w:p>
    <w:p>
      <w:pPr>
        <w:spacing w:after="0" w:line="195" w:lineRule="exact"/>
        <w:rPr>
          <w:color w:val="auto"/>
          <w:sz w:val="20"/>
          <w:szCs w:val="20"/>
          <w:shd w:val="clear" w:color="auto" w:fill="auto"/>
        </w:rPr>
      </w:pPr>
    </w:p>
    <w:tbl>
      <w:tblPr>
        <w:tblStyle w:val="3"/>
        <w:tblW w:w="9500" w:type="dxa"/>
        <w:tblInd w:w="10" w:type="dxa"/>
        <w:tblLayout w:type="fixed"/>
        <w:tblCellMar>
          <w:top w:w="0" w:type="dxa"/>
          <w:left w:w="0" w:type="dxa"/>
          <w:bottom w:w="0" w:type="dxa"/>
          <w:right w:w="0" w:type="dxa"/>
        </w:tblCellMar>
      </w:tblPr>
      <w:tblGrid>
        <w:gridCol w:w="1680"/>
        <w:gridCol w:w="740"/>
        <w:gridCol w:w="220"/>
        <w:gridCol w:w="620"/>
        <w:gridCol w:w="4860"/>
        <w:gridCol w:w="40"/>
        <w:gridCol w:w="980"/>
        <w:gridCol w:w="360"/>
      </w:tblGrid>
      <w:tr>
        <w:tblPrEx>
          <w:tblLayout w:type="fixed"/>
          <w:tblCellMar>
            <w:top w:w="0" w:type="dxa"/>
            <w:left w:w="0" w:type="dxa"/>
            <w:bottom w:w="0" w:type="dxa"/>
            <w:right w:w="0" w:type="dxa"/>
          </w:tblCellMar>
        </w:tblPrEx>
        <w:trPr>
          <w:trHeight w:val="240" w:hRule="atLeast"/>
        </w:trPr>
        <w:tc>
          <w:tcPr>
            <w:tcW w:w="1680" w:type="dxa"/>
            <w:vAlign w:val="bottom"/>
          </w:tcPr>
          <w:p>
            <w:pPr>
              <w:spacing w:after="0"/>
              <w:rPr>
                <w:color w:val="auto"/>
                <w:sz w:val="20"/>
                <w:szCs w:val="20"/>
                <w:shd w:val="clear" w:color="auto" w:fill="auto"/>
              </w:rPr>
            </w:pPr>
          </w:p>
        </w:tc>
        <w:tc>
          <w:tcPr>
            <w:tcW w:w="740" w:type="dxa"/>
            <w:vAlign w:val="bottom"/>
          </w:tcPr>
          <w:p>
            <w:pPr>
              <w:spacing w:after="0" w:line="240" w:lineRule="exact"/>
              <w:ind w:left="260"/>
              <w:rPr>
                <w:color w:val="auto"/>
                <w:sz w:val="20"/>
                <w:szCs w:val="20"/>
                <w:shd w:val="clear" w:color="auto" w:fill="auto"/>
              </w:rPr>
            </w:pPr>
            <w:r>
              <w:rPr>
                <w:rFonts w:ascii="黑体" w:hAnsi="黑体" w:eastAsia="黑体" w:cs="黑体"/>
                <w:b/>
                <w:bCs/>
                <w:color w:val="auto"/>
                <w:sz w:val="21"/>
                <w:szCs w:val="21"/>
                <w:shd w:val="clear" w:color="auto" w:fill="auto"/>
              </w:rPr>
              <w:t>表 3</w:t>
            </w:r>
          </w:p>
        </w:tc>
        <w:tc>
          <w:tcPr>
            <w:tcW w:w="5740" w:type="dxa"/>
            <w:gridSpan w:val="4"/>
            <w:vAlign w:val="bottom"/>
          </w:tcPr>
          <w:p>
            <w:pPr>
              <w:spacing w:after="0" w:line="240" w:lineRule="exact"/>
              <w:ind w:left="100"/>
              <w:rPr>
                <w:color w:val="auto"/>
                <w:sz w:val="20"/>
                <w:szCs w:val="20"/>
                <w:shd w:val="clear" w:color="auto" w:fill="auto"/>
              </w:rPr>
            </w:pPr>
            <w:r>
              <w:rPr>
                <w:rFonts w:ascii="黑体" w:hAnsi="黑体" w:eastAsia="黑体" w:cs="黑体"/>
                <w:b/>
                <w:bCs/>
                <w:color w:val="auto"/>
                <w:sz w:val="21"/>
                <w:szCs w:val="21"/>
                <w:shd w:val="clear" w:color="auto" w:fill="auto"/>
              </w:rPr>
              <w:t>6 所公立高校章程中关于高校章程实施程序机制的规定</w:t>
            </w:r>
          </w:p>
        </w:tc>
        <w:tc>
          <w:tcPr>
            <w:tcW w:w="980" w:type="dxa"/>
            <w:vAlign w:val="bottom"/>
          </w:tcPr>
          <w:p>
            <w:pPr>
              <w:spacing w:after="0"/>
              <w:rPr>
                <w:color w:val="auto"/>
                <w:sz w:val="20"/>
                <w:szCs w:val="2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65" w:hRule="atLeast"/>
        </w:trPr>
        <w:tc>
          <w:tcPr>
            <w:tcW w:w="1680" w:type="dxa"/>
            <w:tcBorders>
              <w:bottom w:val="single" w:color="auto" w:sz="8" w:space="0"/>
            </w:tcBorders>
            <w:vAlign w:val="bottom"/>
          </w:tcPr>
          <w:p>
            <w:pPr>
              <w:spacing w:after="0"/>
              <w:rPr>
                <w:color w:val="auto"/>
                <w:sz w:val="14"/>
                <w:szCs w:val="14"/>
                <w:shd w:val="clear" w:color="auto" w:fill="auto"/>
              </w:rPr>
            </w:pPr>
          </w:p>
        </w:tc>
        <w:tc>
          <w:tcPr>
            <w:tcW w:w="740" w:type="dxa"/>
            <w:tcBorders>
              <w:bottom w:val="single" w:color="auto" w:sz="8" w:space="0"/>
            </w:tcBorders>
            <w:vAlign w:val="bottom"/>
          </w:tcPr>
          <w:p>
            <w:pPr>
              <w:spacing w:after="0"/>
              <w:rPr>
                <w:color w:val="auto"/>
                <w:sz w:val="14"/>
                <w:szCs w:val="14"/>
                <w:shd w:val="clear" w:color="auto" w:fill="auto"/>
              </w:rPr>
            </w:pPr>
          </w:p>
        </w:tc>
        <w:tc>
          <w:tcPr>
            <w:tcW w:w="220" w:type="dxa"/>
            <w:tcBorders>
              <w:bottom w:val="single" w:color="auto" w:sz="8" w:space="0"/>
            </w:tcBorders>
            <w:vAlign w:val="bottom"/>
          </w:tcPr>
          <w:p>
            <w:pPr>
              <w:spacing w:after="0"/>
              <w:rPr>
                <w:color w:val="auto"/>
                <w:sz w:val="14"/>
                <w:szCs w:val="14"/>
                <w:shd w:val="clear" w:color="auto" w:fill="auto"/>
              </w:rPr>
            </w:pPr>
          </w:p>
        </w:tc>
        <w:tc>
          <w:tcPr>
            <w:tcW w:w="620" w:type="dxa"/>
            <w:tcBorders>
              <w:bottom w:val="single" w:color="auto" w:sz="8" w:space="0"/>
            </w:tcBorders>
            <w:vAlign w:val="bottom"/>
          </w:tcPr>
          <w:p>
            <w:pPr>
              <w:spacing w:after="0"/>
              <w:rPr>
                <w:color w:val="auto"/>
                <w:sz w:val="14"/>
                <w:szCs w:val="14"/>
                <w:shd w:val="clear" w:color="auto" w:fill="auto"/>
              </w:rPr>
            </w:pPr>
          </w:p>
        </w:tc>
        <w:tc>
          <w:tcPr>
            <w:tcW w:w="4860" w:type="dxa"/>
            <w:tcBorders>
              <w:bottom w:val="single" w:color="auto" w:sz="8" w:space="0"/>
            </w:tcBorders>
            <w:vAlign w:val="bottom"/>
          </w:tcPr>
          <w:p>
            <w:pPr>
              <w:spacing w:after="0"/>
              <w:rPr>
                <w:color w:val="auto"/>
                <w:sz w:val="14"/>
                <w:szCs w:val="14"/>
                <w:shd w:val="clear" w:color="auto" w:fill="auto"/>
              </w:rPr>
            </w:pPr>
          </w:p>
        </w:tc>
        <w:tc>
          <w:tcPr>
            <w:tcW w:w="40" w:type="dxa"/>
            <w:tcBorders>
              <w:bottom w:val="single" w:color="auto" w:sz="8" w:space="0"/>
            </w:tcBorders>
            <w:vAlign w:val="bottom"/>
          </w:tcPr>
          <w:p>
            <w:pPr>
              <w:spacing w:after="0"/>
              <w:rPr>
                <w:color w:val="auto"/>
                <w:sz w:val="14"/>
                <w:szCs w:val="14"/>
                <w:shd w:val="clear" w:color="auto" w:fill="auto"/>
              </w:rPr>
            </w:pPr>
          </w:p>
        </w:tc>
        <w:tc>
          <w:tcPr>
            <w:tcW w:w="980" w:type="dxa"/>
            <w:tcBorders>
              <w:bottom w:val="single" w:color="auto" w:sz="8" w:space="0"/>
            </w:tcBorders>
            <w:vAlign w:val="bottom"/>
          </w:tcPr>
          <w:p>
            <w:pPr>
              <w:spacing w:after="0"/>
              <w:rPr>
                <w:color w:val="auto"/>
                <w:sz w:val="14"/>
                <w:szCs w:val="1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48" w:hRule="atLeast"/>
        </w:trPr>
        <w:tc>
          <w:tcPr>
            <w:tcW w:w="1680" w:type="dxa"/>
            <w:vMerge w:val="restart"/>
            <w:tcBorders>
              <w:left w:val="single" w:color="auto" w:sz="8" w:space="0"/>
              <w:right w:val="single" w:color="auto" w:sz="8" w:space="0"/>
            </w:tcBorders>
            <w:vAlign w:val="bottom"/>
          </w:tcPr>
          <w:p>
            <w:pPr>
              <w:spacing w:after="0" w:line="240" w:lineRule="exact"/>
              <w:ind w:left="420"/>
              <w:rPr>
                <w:color w:val="auto"/>
                <w:sz w:val="20"/>
                <w:szCs w:val="20"/>
                <w:shd w:val="clear" w:color="auto" w:fill="auto"/>
              </w:rPr>
            </w:pPr>
            <w:r>
              <w:rPr>
                <w:rFonts w:ascii="宋体" w:hAnsi="宋体" w:eastAsia="宋体" w:cs="宋体"/>
                <w:b/>
                <w:bCs/>
                <w:color w:val="auto"/>
                <w:sz w:val="21"/>
                <w:szCs w:val="21"/>
                <w:shd w:val="clear" w:color="auto" w:fill="auto"/>
              </w:rPr>
              <w:t>高校章程</w:t>
            </w:r>
          </w:p>
        </w:tc>
        <w:tc>
          <w:tcPr>
            <w:tcW w:w="960" w:type="dxa"/>
            <w:gridSpan w:val="2"/>
            <w:vMerge w:val="restart"/>
            <w:tcBorders>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b/>
                <w:bCs/>
                <w:color w:val="auto"/>
                <w:sz w:val="21"/>
                <w:szCs w:val="21"/>
                <w:shd w:val="clear" w:color="auto" w:fill="auto"/>
              </w:rPr>
              <w:t>适用程序</w:t>
            </w:r>
          </w:p>
        </w:tc>
        <w:tc>
          <w:tcPr>
            <w:tcW w:w="620" w:type="dxa"/>
            <w:tcBorders>
              <w:right w:val="single" w:color="auto" w:sz="8" w:space="0"/>
            </w:tcBorders>
            <w:vAlign w:val="bottom"/>
          </w:tcPr>
          <w:p>
            <w:pPr>
              <w:spacing w:after="0" w:line="240" w:lineRule="exact"/>
              <w:ind w:left="80"/>
              <w:rPr>
                <w:color w:val="auto"/>
                <w:sz w:val="20"/>
                <w:szCs w:val="20"/>
                <w:shd w:val="clear" w:color="auto" w:fill="auto"/>
              </w:rPr>
            </w:pPr>
            <w:r>
              <w:rPr>
                <w:rFonts w:ascii="宋体" w:hAnsi="宋体" w:eastAsia="宋体" w:cs="宋体"/>
                <w:b/>
                <w:bCs/>
                <w:color w:val="auto"/>
                <w:sz w:val="21"/>
                <w:szCs w:val="21"/>
                <w:shd w:val="clear" w:color="auto" w:fill="auto"/>
              </w:rPr>
              <w:t>监督</w:t>
            </w:r>
          </w:p>
        </w:tc>
        <w:tc>
          <w:tcPr>
            <w:tcW w:w="4860" w:type="dxa"/>
            <w:vMerge w:val="restart"/>
            <w:tcBorders>
              <w:right w:val="single" w:color="auto" w:sz="8" w:space="0"/>
            </w:tcBorders>
            <w:vAlign w:val="bottom"/>
          </w:tcPr>
          <w:p>
            <w:pPr>
              <w:spacing w:after="0" w:line="240" w:lineRule="exact"/>
              <w:ind w:left="1360"/>
              <w:rPr>
                <w:color w:val="auto"/>
                <w:sz w:val="20"/>
                <w:szCs w:val="20"/>
                <w:shd w:val="clear" w:color="auto" w:fill="auto"/>
              </w:rPr>
            </w:pPr>
            <w:r>
              <w:rPr>
                <w:rFonts w:ascii="宋体" w:hAnsi="宋体" w:eastAsia="宋体" w:cs="宋体"/>
                <w:b/>
                <w:bCs/>
                <w:color w:val="auto"/>
                <w:sz w:val="21"/>
                <w:szCs w:val="21"/>
                <w:shd w:val="clear" w:color="auto" w:fill="auto"/>
              </w:rPr>
              <w:t>修改程序</w:t>
            </w:r>
          </w:p>
        </w:tc>
        <w:tc>
          <w:tcPr>
            <w:tcW w:w="40" w:type="dxa"/>
            <w:vAlign w:val="bottom"/>
          </w:tcPr>
          <w:p>
            <w:pPr>
              <w:spacing w:after="0"/>
              <w:rPr>
                <w:color w:val="auto"/>
                <w:sz w:val="24"/>
                <w:szCs w:val="24"/>
                <w:shd w:val="clear" w:color="auto" w:fill="auto"/>
              </w:rPr>
            </w:pPr>
          </w:p>
        </w:tc>
        <w:tc>
          <w:tcPr>
            <w:tcW w:w="98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w w:val="99"/>
                <w:sz w:val="21"/>
                <w:szCs w:val="21"/>
                <w:shd w:val="clear" w:color="auto" w:fill="auto"/>
              </w:rPr>
              <w:t>规定条款</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68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960" w:type="dxa"/>
            <w:gridSpan w:val="2"/>
            <w:vMerge w:val="continue"/>
            <w:tcBorders>
              <w:right w:val="single" w:color="auto" w:sz="8" w:space="0"/>
            </w:tcBorders>
            <w:vAlign w:val="bottom"/>
          </w:tcPr>
          <w:p>
            <w:pPr>
              <w:spacing w:after="0"/>
              <w:rPr>
                <w:color w:val="auto"/>
                <w:sz w:val="13"/>
                <w:szCs w:val="13"/>
                <w:shd w:val="clear" w:color="auto" w:fill="auto"/>
              </w:rPr>
            </w:pPr>
          </w:p>
        </w:tc>
        <w:tc>
          <w:tcPr>
            <w:tcW w:w="620" w:type="dxa"/>
            <w:vMerge w:val="restart"/>
            <w:tcBorders>
              <w:right w:val="single" w:color="auto" w:sz="8" w:space="0"/>
            </w:tcBorders>
            <w:vAlign w:val="bottom"/>
          </w:tcPr>
          <w:p>
            <w:pPr>
              <w:spacing w:after="0" w:line="240" w:lineRule="exact"/>
              <w:ind w:left="80"/>
              <w:rPr>
                <w:color w:val="auto"/>
                <w:sz w:val="20"/>
                <w:szCs w:val="20"/>
                <w:shd w:val="clear" w:color="auto" w:fill="auto"/>
              </w:rPr>
            </w:pPr>
            <w:r>
              <w:rPr>
                <w:rFonts w:ascii="宋体" w:hAnsi="宋体" w:eastAsia="宋体" w:cs="宋体"/>
                <w:b/>
                <w:bCs/>
                <w:color w:val="auto"/>
                <w:sz w:val="21"/>
                <w:szCs w:val="21"/>
                <w:shd w:val="clear" w:color="auto" w:fill="auto"/>
              </w:rPr>
              <w:t>程序</w:t>
            </w:r>
          </w:p>
        </w:tc>
        <w:tc>
          <w:tcPr>
            <w:tcW w:w="4860" w:type="dxa"/>
            <w:vMerge w:val="continue"/>
            <w:tcBorders>
              <w:right w:val="single" w:color="auto" w:sz="8" w:space="0"/>
            </w:tcBorders>
            <w:vAlign w:val="bottom"/>
          </w:tcPr>
          <w:p>
            <w:pPr>
              <w:spacing w:after="0"/>
              <w:rPr>
                <w:color w:val="auto"/>
                <w:sz w:val="13"/>
                <w:szCs w:val="13"/>
                <w:shd w:val="clear" w:color="auto" w:fill="auto"/>
              </w:rPr>
            </w:pPr>
          </w:p>
        </w:tc>
        <w:tc>
          <w:tcPr>
            <w:tcW w:w="40" w:type="dxa"/>
            <w:vAlign w:val="bottom"/>
          </w:tcPr>
          <w:p>
            <w:pPr>
              <w:spacing w:after="0"/>
              <w:rPr>
                <w:color w:val="auto"/>
                <w:sz w:val="13"/>
                <w:szCs w:val="13"/>
                <w:shd w:val="clear" w:color="auto" w:fill="auto"/>
              </w:rPr>
            </w:pPr>
          </w:p>
        </w:tc>
        <w:tc>
          <w:tcPr>
            <w:tcW w:w="98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68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740" w:type="dxa"/>
            <w:vAlign w:val="bottom"/>
          </w:tcPr>
          <w:p>
            <w:pPr>
              <w:spacing w:after="0"/>
              <w:rPr>
                <w:color w:val="auto"/>
                <w:sz w:val="13"/>
                <w:szCs w:val="13"/>
                <w:shd w:val="clear" w:color="auto" w:fill="auto"/>
              </w:rPr>
            </w:pPr>
          </w:p>
        </w:tc>
        <w:tc>
          <w:tcPr>
            <w:tcW w:w="220" w:type="dxa"/>
            <w:tcBorders>
              <w:right w:val="single" w:color="auto" w:sz="8" w:space="0"/>
            </w:tcBorders>
            <w:vAlign w:val="bottom"/>
          </w:tcPr>
          <w:p>
            <w:pPr>
              <w:spacing w:after="0"/>
              <w:rPr>
                <w:color w:val="auto"/>
                <w:sz w:val="13"/>
                <w:szCs w:val="13"/>
                <w:shd w:val="clear" w:color="auto" w:fill="auto"/>
              </w:rPr>
            </w:pPr>
          </w:p>
        </w:tc>
        <w:tc>
          <w:tcPr>
            <w:tcW w:w="620" w:type="dxa"/>
            <w:vMerge w:val="continue"/>
            <w:tcBorders>
              <w:right w:val="single" w:color="auto" w:sz="8" w:space="0"/>
            </w:tcBorders>
            <w:vAlign w:val="bottom"/>
          </w:tcPr>
          <w:p>
            <w:pPr>
              <w:spacing w:after="0"/>
              <w:rPr>
                <w:color w:val="auto"/>
                <w:sz w:val="13"/>
                <w:szCs w:val="13"/>
                <w:shd w:val="clear" w:color="auto" w:fill="auto"/>
              </w:rPr>
            </w:pPr>
          </w:p>
        </w:tc>
        <w:tc>
          <w:tcPr>
            <w:tcW w:w="4860" w:type="dxa"/>
            <w:tcBorders>
              <w:right w:val="single" w:color="auto" w:sz="8" w:space="0"/>
            </w:tcBorders>
            <w:vAlign w:val="bottom"/>
          </w:tcPr>
          <w:p>
            <w:pPr>
              <w:spacing w:after="0"/>
              <w:rPr>
                <w:color w:val="auto"/>
                <w:sz w:val="13"/>
                <w:szCs w:val="13"/>
                <w:shd w:val="clear" w:color="auto" w:fill="auto"/>
              </w:rPr>
            </w:pPr>
          </w:p>
        </w:tc>
        <w:tc>
          <w:tcPr>
            <w:tcW w:w="40" w:type="dxa"/>
            <w:vAlign w:val="bottom"/>
          </w:tcPr>
          <w:p>
            <w:pPr>
              <w:spacing w:after="0"/>
              <w:rPr>
                <w:color w:val="auto"/>
                <w:sz w:val="13"/>
                <w:szCs w:val="13"/>
                <w:shd w:val="clear" w:color="auto" w:fill="auto"/>
              </w:rPr>
            </w:pPr>
          </w:p>
        </w:tc>
        <w:tc>
          <w:tcPr>
            <w:tcW w:w="98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2" w:hRule="atLeast"/>
        </w:trPr>
        <w:tc>
          <w:tcPr>
            <w:tcW w:w="1680" w:type="dxa"/>
            <w:tcBorders>
              <w:left w:val="single" w:color="auto" w:sz="8" w:space="0"/>
              <w:bottom w:val="single" w:color="auto" w:sz="8" w:space="0"/>
              <w:right w:val="single" w:color="auto" w:sz="8" w:space="0"/>
            </w:tcBorders>
            <w:vAlign w:val="bottom"/>
          </w:tcPr>
          <w:p>
            <w:pPr>
              <w:spacing w:after="0"/>
              <w:rPr>
                <w:color w:val="auto"/>
                <w:sz w:val="13"/>
                <w:szCs w:val="13"/>
                <w:shd w:val="clear" w:color="auto" w:fill="auto"/>
              </w:rPr>
            </w:pPr>
          </w:p>
        </w:tc>
        <w:tc>
          <w:tcPr>
            <w:tcW w:w="740" w:type="dxa"/>
            <w:tcBorders>
              <w:bottom w:val="single" w:color="auto" w:sz="8" w:space="0"/>
            </w:tcBorders>
            <w:vAlign w:val="bottom"/>
          </w:tcPr>
          <w:p>
            <w:pPr>
              <w:spacing w:after="0"/>
              <w:rPr>
                <w:color w:val="auto"/>
                <w:sz w:val="13"/>
                <w:szCs w:val="13"/>
                <w:shd w:val="clear" w:color="auto" w:fill="auto"/>
              </w:rPr>
            </w:pPr>
          </w:p>
        </w:tc>
        <w:tc>
          <w:tcPr>
            <w:tcW w:w="220" w:type="dxa"/>
            <w:tcBorders>
              <w:bottom w:val="single" w:color="auto" w:sz="8" w:space="0"/>
              <w:right w:val="single" w:color="auto" w:sz="8" w:space="0"/>
            </w:tcBorders>
            <w:vAlign w:val="bottom"/>
          </w:tcPr>
          <w:p>
            <w:pPr>
              <w:spacing w:after="0"/>
              <w:rPr>
                <w:color w:val="auto"/>
                <w:sz w:val="13"/>
                <w:szCs w:val="13"/>
                <w:shd w:val="clear" w:color="auto" w:fill="auto"/>
              </w:rPr>
            </w:pPr>
          </w:p>
        </w:tc>
        <w:tc>
          <w:tcPr>
            <w:tcW w:w="620" w:type="dxa"/>
            <w:tcBorders>
              <w:bottom w:val="single" w:color="auto" w:sz="8" w:space="0"/>
              <w:right w:val="single" w:color="auto" w:sz="8" w:space="0"/>
            </w:tcBorders>
            <w:vAlign w:val="bottom"/>
          </w:tcPr>
          <w:p>
            <w:pPr>
              <w:spacing w:after="0"/>
              <w:rPr>
                <w:color w:val="auto"/>
                <w:sz w:val="13"/>
                <w:szCs w:val="13"/>
                <w:shd w:val="clear" w:color="auto" w:fill="auto"/>
              </w:rPr>
            </w:pPr>
          </w:p>
        </w:tc>
        <w:tc>
          <w:tcPr>
            <w:tcW w:w="4860" w:type="dxa"/>
            <w:tcBorders>
              <w:bottom w:val="single" w:color="auto" w:sz="8" w:space="0"/>
              <w:right w:val="single" w:color="auto" w:sz="8" w:space="0"/>
            </w:tcBorders>
            <w:vAlign w:val="bottom"/>
          </w:tcPr>
          <w:p>
            <w:pPr>
              <w:spacing w:after="0"/>
              <w:rPr>
                <w:color w:val="auto"/>
                <w:sz w:val="13"/>
                <w:szCs w:val="13"/>
                <w:shd w:val="clear" w:color="auto" w:fill="auto"/>
              </w:rPr>
            </w:pPr>
          </w:p>
        </w:tc>
        <w:tc>
          <w:tcPr>
            <w:tcW w:w="40" w:type="dxa"/>
            <w:tcBorders>
              <w:bottom w:val="single" w:color="auto" w:sz="8" w:space="0"/>
            </w:tcBorders>
            <w:vAlign w:val="bottom"/>
          </w:tcPr>
          <w:p>
            <w:pPr>
              <w:spacing w:after="0"/>
              <w:rPr>
                <w:color w:val="auto"/>
                <w:sz w:val="13"/>
                <w:szCs w:val="13"/>
                <w:shd w:val="clear" w:color="auto" w:fill="auto"/>
              </w:rPr>
            </w:pPr>
          </w:p>
        </w:tc>
        <w:tc>
          <w:tcPr>
            <w:tcW w:w="980" w:type="dxa"/>
            <w:tcBorders>
              <w:bottom w:val="single" w:color="auto" w:sz="8" w:space="0"/>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0" w:hRule="atLeast"/>
        </w:trPr>
        <w:tc>
          <w:tcPr>
            <w:tcW w:w="1680" w:type="dxa"/>
            <w:tcBorders>
              <w:left w:val="single" w:color="auto" w:sz="8" w:space="0"/>
              <w:right w:val="single" w:color="auto" w:sz="8" w:space="0"/>
            </w:tcBorders>
            <w:vAlign w:val="bottom"/>
          </w:tcPr>
          <w:p>
            <w:pPr>
              <w:spacing w:after="0"/>
              <w:rPr>
                <w:color w:val="auto"/>
                <w:sz w:val="21"/>
                <w:szCs w:val="21"/>
                <w:shd w:val="clear" w:color="auto" w:fill="auto"/>
              </w:rPr>
            </w:pPr>
          </w:p>
        </w:tc>
        <w:tc>
          <w:tcPr>
            <w:tcW w:w="740" w:type="dxa"/>
            <w:vAlign w:val="bottom"/>
          </w:tcPr>
          <w:p>
            <w:pPr>
              <w:spacing w:after="0"/>
              <w:rPr>
                <w:color w:val="auto"/>
                <w:sz w:val="21"/>
                <w:szCs w:val="21"/>
                <w:shd w:val="clear" w:color="auto" w:fill="auto"/>
              </w:rPr>
            </w:pPr>
          </w:p>
        </w:tc>
        <w:tc>
          <w:tcPr>
            <w:tcW w:w="220" w:type="dxa"/>
            <w:tcBorders>
              <w:right w:val="single" w:color="auto" w:sz="8" w:space="0"/>
            </w:tcBorders>
            <w:vAlign w:val="bottom"/>
          </w:tcPr>
          <w:p>
            <w:pPr>
              <w:spacing w:after="0"/>
              <w:rPr>
                <w:color w:val="auto"/>
                <w:sz w:val="21"/>
                <w:szCs w:val="21"/>
                <w:shd w:val="clear" w:color="auto" w:fill="auto"/>
              </w:rPr>
            </w:pPr>
          </w:p>
        </w:tc>
        <w:tc>
          <w:tcPr>
            <w:tcW w:w="620" w:type="dxa"/>
            <w:tcBorders>
              <w:right w:val="single" w:color="auto" w:sz="8" w:space="0"/>
            </w:tcBorders>
            <w:vAlign w:val="bottom"/>
          </w:tcPr>
          <w:p>
            <w:pPr>
              <w:spacing w:after="0"/>
              <w:rPr>
                <w:color w:val="auto"/>
                <w:sz w:val="21"/>
                <w:szCs w:val="21"/>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章程修改经学校教代会讨论、校务委员会审议、校长</w:t>
            </w:r>
          </w:p>
        </w:tc>
        <w:tc>
          <w:tcPr>
            <w:tcW w:w="40" w:type="dxa"/>
            <w:vAlign w:val="bottom"/>
          </w:tcPr>
          <w:p>
            <w:pPr>
              <w:spacing w:after="0"/>
              <w:rPr>
                <w:color w:val="auto"/>
                <w:sz w:val="21"/>
                <w:szCs w:val="21"/>
                <w:shd w:val="clear" w:color="auto" w:fill="auto"/>
              </w:rPr>
            </w:pPr>
          </w:p>
        </w:tc>
        <w:tc>
          <w:tcPr>
            <w:tcW w:w="980" w:type="dxa"/>
            <w:tcBorders>
              <w:right w:val="single" w:color="auto" w:sz="8" w:space="0"/>
            </w:tcBorders>
            <w:vAlign w:val="bottom"/>
          </w:tcPr>
          <w:p>
            <w:pPr>
              <w:spacing w:after="0"/>
              <w:rPr>
                <w:color w:val="auto"/>
                <w:sz w:val="21"/>
                <w:szCs w:val="2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北京大学章程</w:t>
            </w: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办公会议审议、 校党委审定后，由校长签发，报上</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2"/>
                <w:sz w:val="21"/>
                <w:szCs w:val="21"/>
                <w:shd w:val="clear" w:color="auto" w:fill="auto"/>
              </w:rPr>
              <w:t>第 54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级核准</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52"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740" w:type="dxa"/>
            <w:tcBorders>
              <w:bottom w:val="single" w:color="auto" w:sz="8" w:space="0"/>
            </w:tcBorders>
            <w:vAlign w:val="bottom"/>
          </w:tcPr>
          <w:p>
            <w:pPr>
              <w:spacing w:after="0"/>
              <w:rPr>
                <w:color w:val="auto"/>
                <w:sz w:val="4"/>
                <w:szCs w:val="4"/>
                <w:shd w:val="clear" w:color="auto" w:fill="auto"/>
              </w:rPr>
            </w:pPr>
          </w:p>
        </w:tc>
        <w:tc>
          <w:tcPr>
            <w:tcW w:w="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86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0" w:type="dxa"/>
            <w:tcBorders>
              <w:bottom w:val="single" w:color="auto" w:sz="8" w:space="0"/>
            </w:tcBorders>
            <w:vAlign w:val="bottom"/>
          </w:tcPr>
          <w:p>
            <w:pPr>
              <w:spacing w:after="0"/>
              <w:rPr>
                <w:color w:val="auto"/>
                <w:sz w:val="4"/>
                <w:szCs w:val="4"/>
                <w:shd w:val="clear" w:color="auto" w:fill="auto"/>
              </w:rPr>
            </w:pPr>
          </w:p>
        </w:tc>
        <w:tc>
          <w:tcPr>
            <w:tcW w:w="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0" w:hRule="atLeast"/>
        </w:trPr>
        <w:tc>
          <w:tcPr>
            <w:tcW w:w="1680" w:type="dxa"/>
            <w:vMerge w:val="restart"/>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中国人民大学章</w:t>
            </w:r>
          </w:p>
        </w:tc>
        <w:tc>
          <w:tcPr>
            <w:tcW w:w="740" w:type="dxa"/>
            <w:vAlign w:val="bottom"/>
          </w:tcPr>
          <w:p>
            <w:pPr>
              <w:spacing w:after="0"/>
              <w:rPr>
                <w:color w:val="auto"/>
                <w:sz w:val="21"/>
                <w:szCs w:val="21"/>
                <w:shd w:val="clear" w:color="auto" w:fill="auto"/>
              </w:rPr>
            </w:pPr>
          </w:p>
        </w:tc>
        <w:tc>
          <w:tcPr>
            <w:tcW w:w="220" w:type="dxa"/>
            <w:tcBorders>
              <w:right w:val="single" w:color="auto" w:sz="8" w:space="0"/>
            </w:tcBorders>
            <w:vAlign w:val="bottom"/>
          </w:tcPr>
          <w:p>
            <w:pPr>
              <w:spacing w:after="0"/>
              <w:rPr>
                <w:color w:val="auto"/>
                <w:sz w:val="21"/>
                <w:szCs w:val="21"/>
                <w:shd w:val="clear" w:color="auto" w:fill="auto"/>
              </w:rPr>
            </w:pPr>
          </w:p>
        </w:tc>
        <w:tc>
          <w:tcPr>
            <w:tcW w:w="620" w:type="dxa"/>
            <w:tcBorders>
              <w:right w:val="single" w:color="auto" w:sz="8" w:space="0"/>
            </w:tcBorders>
            <w:vAlign w:val="bottom"/>
          </w:tcPr>
          <w:p>
            <w:pPr>
              <w:spacing w:after="0"/>
              <w:rPr>
                <w:color w:val="auto"/>
                <w:sz w:val="21"/>
                <w:szCs w:val="21"/>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章程修改需提交教职员工代表大会讨论并征求意见，</w:t>
            </w:r>
          </w:p>
        </w:tc>
        <w:tc>
          <w:tcPr>
            <w:tcW w:w="40" w:type="dxa"/>
            <w:vAlign w:val="bottom"/>
          </w:tcPr>
          <w:p>
            <w:pPr>
              <w:spacing w:after="0"/>
              <w:rPr>
                <w:color w:val="auto"/>
                <w:sz w:val="21"/>
                <w:szCs w:val="21"/>
                <w:shd w:val="clear" w:color="auto" w:fill="auto"/>
              </w:rPr>
            </w:pPr>
          </w:p>
        </w:tc>
        <w:tc>
          <w:tcPr>
            <w:tcW w:w="980" w:type="dxa"/>
            <w:tcBorders>
              <w:right w:val="single" w:color="auto" w:sz="8" w:space="0"/>
            </w:tcBorders>
            <w:vAlign w:val="bottom"/>
          </w:tcPr>
          <w:p>
            <w:pPr>
              <w:spacing w:after="0"/>
              <w:rPr>
                <w:color w:val="auto"/>
                <w:sz w:val="21"/>
                <w:szCs w:val="2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82" w:hRule="atLeast"/>
        </w:trPr>
        <w:tc>
          <w:tcPr>
            <w:tcW w:w="1680" w:type="dxa"/>
            <w:vMerge w:val="continue"/>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由校长办公会研究审议，最终由学校党委会讨论审定</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2"/>
                <w:sz w:val="21"/>
                <w:szCs w:val="21"/>
                <w:shd w:val="clear" w:color="auto" w:fill="auto"/>
              </w:rPr>
              <w:t>第 72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10" w:hRule="atLeast"/>
        </w:trPr>
        <w:tc>
          <w:tcPr>
            <w:tcW w:w="1680" w:type="dxa"/>
            <w:tcBorders>
              <w:left w:val="single" w:color="auto" w:sz="8" w:space="0"/>
              <w:right w:val="single" w:color="auto" w:sz="8" w:space="0"/>
            </w:tcBorders>
            <w:vAlign w:val="bottom"/>
          </w:tcPr>
          <w:p>
            <w:pPr>
              <w:spacing w:after="0" w:line="210" w:lineRule="exact"/>
              <w:ind w:left="40"/>
              <w:rPr>
                <w:color w:val="auto"/>
                <w:sz w:val="20"/>
                <w:szCs w:val="20"/>
                <w:shd w:val="clear" w:color="auto" w:fill="auto"/>
              </w:rPr>
            </w:pPr>
            <w:r>
              <w:rPr>
                <w:rFonts w:ascii="宋体" w:hAnsi="宋体" w:eastAsia="宋体" w:cs="宋体"/>
                <w:color w:val="auto"/>
                <w:sz w:val="21"/>
                <w:szCs w:val="21"/>
                <w:shd w:val="clear" w:color="auto" w:fill="auto"/>
              </w:rPr>
              <w:t>程</w:t>
            </w:r>
          </w:p>
        </w:tc>
        <w:tc>
          <w:tcPr>
            <w:tcW w:w="740" w:type="dxa"/>
            <w:vAlign w:val="bottom"/>
          </w:tcPr>
          <w:p>
            <w:pPr>
              <w:spacing w:after="0"/>
              <w:rPr>
                <w:color w:val="auto"/>
                <w:sz w:val="18"/>
                <w:szCs w:val="18"/>
                <w:shd w:val="clear" w:color="auto" w:fill="auto"/>
              </w:rPr>
            </w:pPr>
          </w:p>
        </w:tc>
        <w:tc>
          <w:tcPr>
            <w:tcW w:w="220" w:type="dxa"/>
            <w:tcBorders>
              <w:right w:val="single" w:color="auto" w:sz="8" w:space="0"/>
            </w:tcBorders>
            <w:vAlign w:val="bottom"/>
          </w:tcPr>
          <w:p>
            <w:pPr>
              <w:spacing w:after="0"/>
              <w:rPr>
                <w:color w:val="auto"/>
                <w:sz w:val="18"/>
                <w:szCs w:val="18"/>
                <w:shd w:val="clear" w:color="auto" w:fill="auto"/>
              </w:rPr>
            </w:pPr>
          </w:p>
        </w:tc>
        <w:tc>
          <w:tcPr>
            <w:tcW w:w="620" w:type="dxa"/>
            <w:tcBorders>
              <w:right w:val="single" w:color="auto" w:sz="8" w:space="0"/>
            </w:tcBorders>
            <w:vAlign w:val="bottom"/>
          </w:tcPr>
          <w:p>
            <w:pPr>
              <w:spacing w:after="0"/>
              <w:rPr>
                <w:color w:val="auto"/>
                <w:sz w:val="18"/>
                <w:szCs w:val="18"/>
                <w:shd w:val="clear" w:color="auto" w:fill="auto"/>
              </w:rPr>
            </w:pPr>
          </w:p>
        </w:tc>
        <w:tc>
          <w:tcPr>
            <w:tcW w:w="4860" w:type="dxa"/>
            <w:vMerge w:val="restart"/>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后，报教育部核准</w:t>
            </w:r>
          </w:p>
        </w:tc>
        <w:tc>
          <w:tcPr>
            <w:tcW w:w="40" w:type="dxa"/>
            <w:vAlign w:val="bottom"/>
          </w:tcPr>
          <w:p>
            <w:pPr>
              <w:spacing w:after="0"/>
              <w:rPr>
                <w:color w:val="auto"/>
                <w:sz w:val="18"/>
                <w:szCs w:val="18"/>
                <w:shd w:val="clear" w:color="auto" w:fill="auto"/>
              </w:rPr>
            </w:pPr>
          </w:p>
        </w:tc>
        <w:tc>
          <w:tcPr>
            <w:tcW w:w="980" w:type="dxa"/>
            <w:tcBorders>
              <w:right w:val="single" w:color="auto" w:sz="8" w:space="0"/>
            </w:tcBorders>
            <w:vAlign w:val="bottom"/>
          </w:tcPr>
          <w:p>
            <w:pPr>
              <w:spacing w:after="0"/>
              <w:rPr>
                <w:color w:val="auto"/>
                <w:sz w:val="18"/>
                <w:szCs w:val="1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32" w:hRule="atLeast"/>
        </w:trPr>
        <w:tc>
          <w:tcPr>
            <w:tcW w:w="1680" w:type="dxa"/>
            <w:tcBorders>
              <w:left w:val="single" w:color="auto" w:sz="8" w:space="0"/>
              <w:right w:val="single" w:color="auto" w:sz="8" w:space="0"/>
            </w:tcBorders>
            <w:vAlign w:val="bottom"/>
          </w:tcPr>
          <w:p>
            <w:pPr>
              <w:spacing w:after="0"/>
              <w:rPr>
                <w:color w:val="auto"/>
                <w:sz w:val="11"/>
                <w:szCs w:val="11"/>
                <w:shd w:val="clear" w:color="auto" w:fill="auto"/>
              </w:rPr>
            </w:pPr>
          </w:p>
        </w:tc>
        <w:tc>
          <w:tcPr>
            <w:tcW w:w="740" w:type="dxa"/>
            <w:vAlign w:val="bottom"/>
          </w:tcPr>
          <w:p>
            <w:pPr>
              <w:spacing w:after="0"/>
              <w:rPr>
                <w:color w:val="auto"/>
                <w:sz w:val="11"/>
                <w:szCs w:val="11"/>
                <w:shd w:val="clear" w:color="auto" w:fill="auto"/>
              </w:rPr>
            </w:pPr>
          </w:p>
        </w:tc>
        <w:tc>
          <w:tcPr>
            <w:tcW w:w="220" w:type="dxa"/>
            <w:tcBorders>
              <w:right w:val="single" w:color="auto" w:sz="8" w:space="0"/>
            </w:tcBorders>
            <w:vAlign w:val="bottom"/>
          </w:tcPr>
          <w:p>
            <w:pPr>
              <w:spacing w:after="0"/>
              <w:rPr>
                <w:color w:val="auto"/>
                <w:sz w:val="11"/>
                <w:szCs w:val="11"/>
                <w:shd w:val="clear" w:color="auto" w:fill="auto"/>
              </w:rPr>
            </w:pPr>
          </w:p>
        </w:tc>
        <w:tc>
          <w:tcPr>
            <w:tcW w:w="620" w:type="dxa"/>
            <w:tcBorders>
              <w:right w:val="single" w:color="auto" w:sz="8" w:space="0"/>
            </w:tcBorders>
            <w:vAlign w:val="bottom"/>
          </w:tcPr>
          <w:p>
            <w:pPr>
              <w:spacing w:after="0"/>
              <w:rPr>
                <w:color w:val="auto"/>
                <w:sz w:val="11"/>
                <w:szCs w:val="11"/>
                <w:shd w:val="clear" w:color="auto" w:fill="auto"/>
              </w:rPr>
            </w:pPr>
          </w:p>
        </w:tc>
        <w:tc>
          <w:tcPr>
            <w:tcW w:w="4860" w:type="dxa"/>
            <w:vMerge w:val="continue"/>
            <w:tcBorders>
              <w:right w:val="single" w:color="auto" w:sz="8" w:space="0"/>
            </w:tcBorders>
            <w:vAlign w:val="bottom"/>
          </w:tcPr>
          <w:p>
            <w:pPr>
              <w:spacing w:after="0"/>
              <w:rPr>
                <w:color w:val="auto"/>
                <w:sz w:val="11"/>
                <w:szCs w:val="11"/>
                <w:shd w:val="clear" w:color="auto" w:fill="auto"/>
              </w:rPr>
            </w:pPr>
          </w:p>
        </w:tc>
        <w:tc>
          <w:tcPr>
            <w:tcW w:w="40" w:type="dxa"/>
            <w:vAlign w:val="bottom"/>
          </w:tcPr>
          <w:p>
            <w:pPr>
              <w:spacing w:after="0"/>
              <w:rPr>
                <w:color w:val="auto"/>
                <w:sz w:val="11"/>
                <w:szCs w:val="11"/>
                <w:shd w:val="clear" w:color="auto" w:fill="auto"/>
              </w:rPr>
            </w:pPr>
          </w:p>
        </w:tc>
        <w:tc>
          <w:tcPr>
            <w:tcW w:w="980" w:type="dxa"/>
            <w:tcBorders>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52"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740" w:type="dxa"/>
            <w:tcBorders>
              <w:bottom w:val="single" w:color="auto" w:sz="8" w:space="0"/>
            </w:tcBorders>
            <w:vAlign w:val="bottom"/>
          </w:tcPr>
          <w:p>
            <w:pPr>
              <w:spacing w:after="0"/>
              <w:rPr>
                <w:color w:val="auto"/>
                <w:sz w:val="4"/>
                <w:szCs w:val="4"/>
                <w:shd w:val="clear" w:color="auto" w:fill="auto"/>
              </w:rPr>
            </w:pPr>
          </w:p>
        </w:tc>
        <w:tc>
          <w:tcPr>
            <w:tcW w:w="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86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0" w:type="dxa"/>
            <w:tcBorders>
              <w:bottom w:val="single" w:color="auto" w:sz="8" w:space="0"/>
            </w:tcBorders>
            <w:vAlign w:val="bottom"/>
          </w:tcPr>
          <w:p>
            <w:pPr>
              <w:spacing w:after="0"/>
              <w:rPr>
                <w:color w:val="auto"/>
                <w:sz w:val="4"/>
                <w:szCs w:val="4"/>
                <w:shd w:val="clear" w:color="auto" w:fill="auto"/>
              </w:rPr>
            </w:pPr>
          </w:p>
        </w:tc>
        <w:tc>
          <w:tcPr>
            <w:tcW w:w="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97"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本章程的修订由学校党委常委会提出， 校长办公会</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吉林大学章程</w:t>
            </w: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议拟定修改草案，经教职工代表大会讨论，广泛征求</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2"/>
                <w:sz w:val="21"/>
                <w:szCs w:val="21"/>
                <w:shd w:val="clear" w:color="auto" w:fill="auto"/>
              </w:rPr>
              <w:t>第 93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师生员工意见后，由学校党委会审定，报教育部核准</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00" w:hRule="atLeast"/>
        </w:trPr>
        <w:tc>
          <w:tcPr>
            <w:tcW w:w="1680" w:type="dxa"/>
            <w:tcBorders>
              <w:left w:val="single" w:color="auto" w:sz="8" w:space="0"/>
              <w:bottom w:val="single" w:color="auto" w:sz="8" w:space="0"/>
              <w:right w:val="single" w:color="auto" w:sz="8" w:space="0"/>
            </w:tcBorders>
            <w:vAlign w:val="bottom"/>
          </w:tcPr>
          <w:p>
            <w:pPr>
              <w:spacing w:after="0"/>
              <w:rPr>
                <w:color w:val="auto"/>
                <w:sz w:val="8"/>
                <w:szCs w:val="8"/>
                <w:shd w:val="clear" w:color="auto" w:fill="auto"/>
              </w:rPr>
            </w:pPr>
          </w:p>
        </w:tc>
        <w:tc>
          <w:tcPr>
            <w:tcW w:w="740" w:type="dxa"/>
            <w:tcBorders>
              <w:bottom w:val="single" w:color="auto" w:sz="8" w:space="0"/>
            </w:tcBorders>
            <w:vAlign w:val="bottom"/>
          </w:tcPr>
          <w:p>
            <w:pPr>
              <w:spacing w:after="0"/>
              <w:rPr>
                <w:color w:val="auto"/>
                <w:sz w:val="8"/>
                <w:szCs w:val="8"/>
                <w:shd w:val="clear" w:color="auto" w:fill="auto"/>
              </w:rPr>
            </w:pPr>
          </w:p>
        </w:tc>
        <w:tc>
          <w:tcPr>
            <w:tcW w:w="2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62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486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40" w:type="dxa"/>
            <w:tcBorders>
              <w:bottom w:val="single" w:color="auto" w:sz="8" w:space="0"/>
            </w:tcBorders>
            <w:vAlign w:val="bottom"/>
          </w:tcPr>
          <w:p>
            <w:pPr>
              <w:spacing w:after="0"/>
              <w:rPr>
                <w:color w:val="auto"/>
                <w:sz w:val="8"/>
                <w:szCs w:val="8"/>
                <w:shd w:val="clear" w:color="auto" w:fill="auto"/>
              </w:rPr>
            </w:pPr>
          </w:p>
        </w:tc>
        <w:tc>
          <w:tcPr>
            <w:tcW w:w="98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04"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本章程由校长办公会议提议修改，校长办公会审议的</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东南大学章程</w:t>
            </w: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章程修正案报经学校教职工代表大会审议并提交学</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2"/>
                <w:sz w:val="21"/>
                <w:szCs w:val="21"/>
                <w:shd w:val="clear" w:color="auto" w:fill="auto"/>
              </w:rPr>
              <w:t>第 82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校党委会审议通过后，报教育部核准</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07" w:hRule="atLeast"/>
        </w:trPr>
        <w:tc>
          <w:tcPr>
            <w:tcW w:w="1680" w:type="dxa"/>
            <w:tcBorders>
              <w:left w:val="single" w:color="auto" w:sz="8" w:space="0"/>
              <w:bottom w:val="single" w:color="auto" w:sz="8" w:space="0"/>
              <w:right w:val="single" w:color="auto" w:sz="8" w:space="0"/>
            </w:tcBorders>
            <w:vAlign w:val="bottom"/>
          </w:tcPr>
          <w:p>
            <w:pPr>
              <w:spacing w:after="0"/>
              <w:rPr>
                <w:color w:val="auto"/>
                <w:sz w:val="9"/>
                <w:szCs w:val="9"/>
                <w:shd w:val="clear" w:color="auto" w:fill="auto"/>
              </w:rPr>
            </w:pPr>
          </w:p>
        </w:tc>
        <w:tc>
          <w:tcPr>
            <w:tcW w:w="740" w:type="dxa"/>
            <w:tcBorders>
              <w:bottom w:val="single" w:color="auto" w:sz="8" w:space="0"/>
            </w:tcBorders>
            <w:vAlign w:val="bottom"/>
          </w:tcPr>
          <w:p>
            <w:pPr>
              <w:spacing w:after="0"/>
              <w:rPr>
                <w:color w:val="auto"/>
                <w:sz w:val="9"/>
                <w:szCs w:val="9"/>
                <w:shd w:val="clear" w:color="auto" w:fill="auto"/>
              </w:rPr>
            </w:pPr>
          </w:p>
        </w:tc>
        <w:tc>
          <w:tcPr>
            <w:tcW w:w="22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62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486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40" w:type="dxa"/>
            <w:tcBorders>
              <w:bottom w:val="single" w:color="auto" w:sz="8" w:space="0"/>
            </w:tcBorders>
            <w:vAlign w:val="bottom"/>
          </w:tcPr>
          <w:p>
            <w:pPr>
              <w:spacing w:after="0"/>
              <w:rPr>
                <w:color w:val="auto"/>
                <w:sz w:val="9"/>
                <w:szCs w:val="9"/>
                <w:shd w:val="clear" w:color="auto" w:fill="auto"/>
              </w:rPr>
            </w:pPr>
          </w:p>
        </w:tc>
        <w:tc>
          <w:tcPr>
            <w:tcW w:w="980" w:type="dxa"/>
            <w:tcBorders>
              <w:bottom w:val="single" w:color="auto" w:sz="8" w:space="0"/>
              <w:right w:val="single" w:color="auto" w:sz="8" w:space="0"/>
            </w:tcBorders>
            <w:vAlign w:val="bottom"/>
          </w:tcPr>
          <w:p>
            <w:pPr>
              <w:spacing w:after="0"/>
              <w:rPr>
                <w:color w:val="auto"/>
                <w:sz w:val="9"/>
                <w:szCs w:val="9"/>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0" w:hRule="atLeast"/>
        </w:trPr>
        <w:tc>
          <w:tcPr>
            <w:tcW w:w="1680" w:type="dxa"/>
            <w:tcBorders>
              <w:left w:val="single" w:color="auto" w:sz="8" w:space="0"/>
              <w:right w:val="single" w:color="auto" w:sz="8" w:space="0"/>
            </w:tcBorders>
            <w:vAlign w:val="bottom"/>
          </w:tcPr>
          <w:p>
            <w:pPr>
              <w:spacing w:after="0"/>
              <w:rPr>
                <w:color w:val="auto"/>
                <w:sz w:val="21"/>
                <w:szCs w:val="21"/>
                <w:shd w:val="clear" w:color="auto" w:fill="auto"/>
              </w:rPr>
            </w:pPr>
          </w:p>
        </w:tc>
        <w:tc>
          <w:tcPr>
            <w:tcW w:w="740" w:type="dxa"/>
            <w:vAlign w:val="bottom"/>
          </w:tcPr>
          <w:p>
            <w:pPr>
              <w:spacing w:after="0"/>
              <w:rPr>
                <w:color w:val="auto"/>
                <w:sz w:val="21"/>
                <w:szCs w:val="21"/>
                <w:shd w:val="clear" w:color="auto" w:fill="auto"/>
              </w:rPr>
            </w:pPr>
          </w:p>
        </w:tc>
        <w:tc>
          <w:tcPr>
            <w:tcW w:w="220" w:type="dxa"/>
            <w:tcBorders>
              <w:right w:val="single" w:color="auto" w:sz="8" w:space="0"/>
            </w:tcBorders>
            <w:vAlign w:val="bottom"/>
          </w:tcPr>
          <w:p>
            <w:pPr>
              <w:spacing w:after="0"/>
              <w:rPr>
                <w:color w:val="auto"/>
                <w:sz w:val="21"/>
                <w:szCs w:val="21"/>
                <w:shd w:val="clear" w:color="auto" w:fill="auto"/>
              </w:rPr>
            </w:pPr>
          </w:p>
        </w:tc>
        <w:tc>
          <w:tcPr>
            <w:tcW w:w="620" w:type="dxa"/>
            <w:tcBorders>
              <w:right w:val="single" w:color="auto" w:sz="8" w:space="0"/>
            </w:tcBorders>
            <w:vAlign w:val="bottom"/>
          </w:tcPr>
          <w:p>
            <w:pPr>
              <w:spacing w:after="0"/>
              <w:rPr>
                <w:color w:val="auto"/>
                <w:sz w:val="21"/>
                <w:szCs w:val="21"/>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章程的修订由学校教职工代表大会五分之一以上代</w:t>
            </w:r>
          </w:p>
        </w:tc>
        <w:tc>
          <w:tcPr>
            <w:tcW w:w="40" w:type="dxa"/>
            <w:vAlign w:val="bottom"/>
          </w:tcPr>
          <w:p>
            <w:pPr>
              <w:spacing w:after="0"/>
              <w:rPr>
                <w:color w:val="auto"/>
                <w:sz w:val="21"/>
                <w:szCs w:val="21"/>
                <w:shd w:val="clear" w:color="auto" w:fill="auto"/>
              </w:rPr>
            </w:pPr>
          </w:p>
        </w:tc>
        <w:tc>
          <w:tcPr>
            <w:tcW w:w="980" w:type="dxa"/>
            <w:tcBorders>
              <w:right w:val="single" w:color="auto" w:sz="8" w:space="0"/>
            </w:tcBorders>
            <w:vAlign w:val="bottom"/>
          </w:tcPr>
          <w:p>
            <w:pPr>
              <w:spacing w:after="0"/>
              <w:rPr>
                <w:color w:val="auto"/>
                <w:sz w:val="21"/>
                <w:szCs w:val="2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表提议，经校务会审议，学校党委同意后进行；学校</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吉首大学章程</w:t>
            </w: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教职工代表大会闭会期间，由校务会提议修改，经学</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第 103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校党委同意后进行。 章程修订案的审核程序依据第</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68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rPr>
                <w:color w:val="auto"/>
                <w:sz w:val="24"/>
                <w:szCs w:val="24"/>
                <w:shd w:val="clear" w:color="auto" w:fill="auto"/>
              </w:rPr>
            </w:pP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rPr>
                <w:color w:val="auto"/>
                <w:sz w:val="24"/>
                <w:szCs w:val="24"/>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101 条的规定执行</w:t>
            </w:r>
          </w:p>
        </w:tc>
        <w:tc>
          <w:tcPr>
            <w:tcW w:w="40" w:type="dxa"/>
            <w:vAlign w:val="bottom"/>
          </w:tcPr>
          <w:p>
            <w:pPr>
              <w:spacing w:after="0"/>
              <w:rPr>
                <w:color w:val="auto"/>
                <w:sz w:val="24"/>
                <w:szCs w:val="24"/>
                <w:shd w:val="clear" w:color="auto" w:fill="auto"/>
              </w:rPr>
            </w:pPr>
          </w:p>
        </w:tc>
        <w:tc>
          <w:tcPr>
            <w:tcW w:w="98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52"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740" w:type="dxa"/>
            <w:tcBorders>
              <w:bottom w:val="single" w:color="auto" w:sz="8" w:space="0"/>
            </w:tcBorders>
            <w:vAlign w:val="bottom"/>
          </w:tcPr>
          <w:p>
            <w:pPr>
              <w:spacing w:after="0"/>
              <w:rPr>
                <w:color w:val="auto"/>
                <w:sz w:val="4"/>
                <w:szCs w:val="4"/>
                <w:shd w:val="clear" w:color="auto" w:fill="auto"/>
              </w:rPr>
            </w:pPr>
          </w:p>
        </w:tc>
        <w:tc>
          <w:tcPr>
            <w:tcW w:w="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86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0" w:type="dxa"/>
            <w:tcBorders>
              <w:bottom w:val="single" w:color="auto" w:sz="8" w:space="0"/>
            </w:tcBorders>
            <w:vAlign w:val="bottom"/>
          </w:tcPr>
          <w:p>
            <w:pPr>
              <w:spacing w:after="0"/>
              <w:rPr>
                <w:color w:val="auto"/>
                <w:sz w:val="4"/>
                <w:szCs w:val="4"/>
                <w:shd w:val="clear" w:color="auto" w:fill="auto"/>
              </w:rPr>
            </w:pPr>
          </w:p>
        </w:tc>
        <w:tc>
          <w:tcPr>
            <w:tcW w:w="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50" w:hRule="atLeast"/>
        </w:trPr>
        <w:tc>
          <w:tcPr>
            <w:tcW w:w="1680" w:type="dxa"/>
            <w:vMerge w:val="restart"/>
            <w:tcBorders>
              <w:left w:val="single" w:color="auto" w:sz="8" w:space="0"/>
              <w:right w:val="single" w:color="auto" w:sz="8" w:space="0"/>
            </w:tcBorders>
            <w:vAlign w:val="bottom"/>
          </w:tcPr>
          <w:p>
            <w:pPr>
              <w:spacing w:after="0" w:line="240" w:lineRule="exact"/>
              <w:ind w:left="40"/>
              <w:rPr>
                <w:color w:val="auto"/>
                <w:sz w:val="20"/>
                <w:szCs w:val="20"/>
                <w:shd w:val="clear" w:color="auto" w:fill="auto"/>
              </w:rPr>
            </w:pPr>
            <w:r>
              <w:rPr>
                <w:rFonts w:ascii="宋体" w:hAnsi="宋体" w:eastAsia="宋体" w:cs="宋体"/>
                <w:color w:val="auto"/>
                <w:sz w:val="21"/>
                <w:szCs w:val="21"/>
                <w:shd w:val="clear" w:color="auto" w:fill="auto"/>
              </w:rPr>
              <w:t>湖南师范大学章</w:t>
            </w:r>
          </w:p>
        </w:tc>
        <w:tc>
          <w:tcPr>
            <w:tcW w:w="740" w:type="dxa"/>
            <w:vAlign w:val="bottom"/>
          </w:tcPr>
          <w:p>
            <w:pPr>
              <w:spacing w:after="0"/>
              <w:rPr>
                <w:color w:val="auto"/>
                <w:sz w:val="21"/>
                <w:szCs w:val="21"/>
                <w:shd w:val="clear" w:color="auto" w:fill="auto"/>
              </w:rPr>
            </w:pPr>
          </w:p>
        </w:tc>
        <w:tc>
          <w:tcPr>
            <w:tcW w:w="220" w:type="dxa"/>
            <w:tcBorders>
              <w:right w:val="single" w:color="auto" w:sz="8" w:space="0"/>
            </w:tcBorders>
            <w:vAlign w:val="bottom"/>
          </w:tcPr>
          <w:p>
            <w:pPr>
              <w:spacing w:after="0"/>
              <w:rPr>
                <w:color w:val="auto"/>
                <w:sz w:val="21"/>
                <w:szCs w:val="21"/>
                <w:shd w:val="clear" w:color="auto" w:fill="auto"/>
              </w:rPr>
            </w:pPr>
          </w:p>
        </w:tc>
        <w:tc>
          <w:tcPr>
            <w:tcW w:w="620" w:type="dxa"/>
            <w:tcBorders>
              <w:right w:val="single" w:color="auto" w:sz="8" w:space="0"/>
            </w:tcBorders>
            <w:vAlign w:val="bottom"/>
          </w:tcPr>
          <w:p>
            <w:pPr>
              <w:spacing w:after="0"/>
              <w:rPr>
                <w:color w:val="auto"/>
                <w:sz w:val="21"/>
                <w:szCs w:val="21"/>
                <w:shd w:val="clear" w:color="auto" w:fill="auto"/>
              </w:rPr>
            </w:pP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w w:val="99"/>
                <w:sz w:val="21"/>
                <w:szCs w:val="21"/>
                <w:shd w:val="clear" w:color="auto" w:fill="auto"/>
              </w:rPr>
              <w:t>学校根据国家政策、法律法规和学校发展需要，适时</w:t>
            </w:r>
          </w:p>
        </w:tc>
        <w:tc>
          <w:tcPr>
            <w:tcW w:w="40" w:type="dxa"/>
            <w:vAlign w:val="bottom"/>
          </w:tcPr>
          <w:p>
            <w:pPr>
              <w:spacing w:after="0"/>
              <w:rPr>
                <w:color w:val="auto"/>
                <w:sz w:val="21"/>
                <w:szCs w:val="21"/>
                <w:shd w:val="clear" w:color="auto" w:fill="auto"/>
              </w:rPr>
            </w:pPr>
          </w:p>
        </w:tc>
        <w:tc>
          <w:tcPr>
            <w:tcW w:w="980" w:type="dxa"/>
            <w:tcBorders>
              <w:right w:val="single" w:color="auto" w:sz="8" w:space="0"/>
            </w:tcBorders>
            <w:vAlign w:val="bottom"/>
          </w:tcPr>
          <w:p>
            <w:pPr>
              <w:spacing w:after="0"/>
              <w:rPr>
                <w:color w:val="auto"/>
                <w:sz w:val="21"/>
                <w:szCs w:val="2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82" w:hRule="atLeast"/>
        </w:trPr>
        <w:tc>
          <w:tcPr>
            <w:tcW w:w="1680" w:type="dxa"/>
            <w:vMerge w:val="continue"/>
            <w:tcBorders>
              <w:left w:val="single" w:color="auto" w:sz="8" w:space="0"/>
              <w:right w:val="single" w:color="auto" w:sz="8" w:space="0"/>
            </w:tcBorders>
            <w:vAlign w:val="bottom"/>
          </w:tcPr>
          <w:p>
            <w:pPr>
              <w:spacing w:after="0"/>
              <w:rPr>
                <w:color w:val="auto"/>
                <w:sz w:val="24"/>
                <w:szCs w:val="24"/>
                <w:shd w:val="clear" w:color="auto" w:fill="auto"/>
              </w:rPr>
            </w:pPr>
          </w:p>
        </w:tc>
        <w:tc>
          <w:tcPr>
            <w:tcW w:w="740" w:type="dxa"/>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220" w:type="dxa"/>
            <w:tcBorders>
              <w:right w:val="single" w:color="auto" w:sz="8" w:space="0"/>
            </w:tcBorders>
            <w:vAlign w:val="bottom"/>
          </w:tcPr>
          <w:p>
            <w:pPr>
              <w:spacing w:after="0"/>
              <w:rPr>
                <w:color w:val="auto"/>
                <w:sz w:val="24"/>
                <w:szCs w:val="24"/>
                <w:shd w:val="clear" w:color="auto" w:fill="auto"/>
              </w:rPr>
            </w:pPr>
          </w:p>
        </w:tc>
        <w:tc>
          <w:tcPr>
            <w:tcW w:w="620" w:type="dxa"/>
            <w:tcBorders>
              <w:right w:val="single" w:color="auto" w:sz="8" w:space="0"/>
            </w:tcBorders>
            <w:vAlign w:val="bottom"/>
          </w:tcPr>
          <w:p>
            <w:pPr>
              <w:spacing w:after="0" w:line="240" w:lineRule="exact"/>
              <w:rPr>
                <w:color w:val="auto"/>
                <w:sz w:val="20"/>
                <w:szCs w:val="20"/>
                <w:shd w:val="clear" w:color="auto" w:fill="auto"/>
              </w:rPr>
            </w:pPr>
            <w:r>
              <w:rPr>
                <w:rFonts w:ascii="宋体" w:hAnsi="宋体" w:eastAsia="宋体" w:cs="宋体"/>
                <w:color w:val="auto"/>
                <w:sz w:val="21"/>
                <w:szCs w:val="21"/>
                <w:shd w:val="clear" w:color="auto" w:fill="auto"/>
              </w:rPr>
              <w:t>无</w:t>
            </w:r>
          </w:p>
        </w:tc>
        <w:tc>
          <w:tcPr>
            <w:tcW w:w="4860" w:type="dxa"/>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修订本章程； 章程修订案的审核程序依据本章程第</w:t>
            </w:r>
          </w:p>
        </w:tc>
        <w:tc>
          <w:tcPr>
            <w:tcW w:w="1020" w:type="dxa"/>
            <w:gridSpan w:val="2"/>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2"/>
                <w:sz w:val="21"/>
                <w:szCs w:val="21"/>
                <w:shd w:val="clear" w:color="auto" w:fill="auto"/>
              </w:rPr>
              <w:t>第 73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10" w:hRule="atLeast"/>
        </w:trPr>
        <w:tc>
          <w:tcPr>
            <w:tcW w:w="1680" w:type="dxa"/>
            <w:tcBorders>
              <w:left w:val="single" w:color="auto" w:sz="8" w:space="0"/>
              <w:right w:val="single" w:color="auto" w:sz="8" w:space="0"/>
            </w:tcBorders>
            <w:vAlign w:val="bottom"/>
          </w:tcPr>
          <w:p>
            <w:pPr>
              <w:spacing w:after="0" w:line="210" w:lineRule="exact"/>
              <w:ind w:left="40"/>
              <w:rPr>
                <w:color w:val="auto"/>
                <w:sz w:val="20"/>
                <w:szCs w:val="20"/>
                <w:shd w:val="clear" w:color="auto" w:fill="auto"/>
              </w:rPr>
            </w:pPr>
            <w:r>
              <w:rPr>
                <w:rFonts w:ascii="宋体" w:hAnsi="宋体" w:eastAsia="宋体" w:cs="宋体"/>
                <w:color w:val="auto"/>
                <w:sz w:val="21"/>
                <w:szCs w:val="21"/>
                <w:shd w:val="clear" w:color="auto" w:fill="auto"/>
              </w:rPr>
              <w:t>程</w:t>
            </w:r>
          </w:p>
        </w:tc>
        <w:tc>
          <w:tcPr>
            <w:tcW w:w="740" w:type="dxa"/>
            <w:vAlign w:val="bottom"/>
          </w:tcPr>
          <w:p>
            <w:pPr>
              <w:spacing w:after="0"/>
              <w:rPr>
                <w:color w:val="auto"/>
                <w:sz w:val="18"/>
                <w:szCs w:val="18"/>
                <w:shd w:val="clear" w:color="auto" w:fill="auto"/>
              </w:rPr>
            </w:pPr>
          </w:p>
        </w:tc>
        <w:tc>
          <w:tcPr>
            <w:tcW w:w="220" w:type="dxa"/>
            <w:tcBorders>
              <w:right w:val="single" w:color="auto" w:sz="8" w:space="0"/>
            </w:tcBorders>
            <w:vAlign w:val="bottom"/>
          </w:tcPr>
          <w:p>
            <w:pPr>
              <w:spacing w:after="0"/>
              <w:rPr>
                <w:color w:val="auto"/>
                <w:sz w:val="18"/>
                <w:szCs w:val="18"/>
                <w:shd w:val="clear" w:color="auto" w:fill="auto"/>
              </w:rPr>
            </w:pPr>
          </w:p>
        </w:tc>
        <w:tc>
          <w:tcPr>
            <w:tcW w:w="620" w:type="dxa"/>
            <w:tcBorders>
              <w:right w:val="single" w:color="auto" w:sz="8" w:space="0"/>
            </w:tcBorders>
            <w:vAlign w:val="bottom"/>
          </w:tcPr>
          <w:p>
            <w:pPr>
              <w:spacing w:after="0"/>
              <w:rPr>
                <w:color w:val="auto"/>
                <w:sz w:val="18"/>
                <w:szCs w:val="18"/>
                <w:shd w:val="clear" w:color="auto" w:fill="auto"/>
              </w:rPr>
            </w:pPr>
          </w:p>
        </w:tc>
        <w:tc>
          <w:tcPr>
            <w:tcW w:w="4860" w:type="dxa"/>
            <w:vMerge w:val="restart"/>
            <w:tcBorders>
              <w:right w:val="single" w:color="auto" w:sz="8" w:space="0"/>
            </w:tcBorders>
            <w:vAlign w:val="bottom"/>
          </w:tcPr>
          <w:p>
            <w:pPr>
              <w:spacing w:after="0" w:line="240" w:lineRule="exact"/>
              <w:ind w:left="20"/>
              <w:rPr>
                <w:color w:val="auto"/>
                <w:sz w:val="20"/>
                <w:szCs w:val="20"/>
                <w:shd w:val="clear" w:color="auto" w:fill="auto"/>
              </w:rPr>
            </w:pPr>
            <w:r>
              <w:rPr>
                <w:rFonts w:ascii="宋体" w:hAnsi="宋体" w:eastAsia="宋体" w:cs="宋体"/>
                <w:color w:val="auto"/>
                <w:sz w:val="21"/>
                <w:szCs w:val="21"/>
                <w:shd w:val="clear" w:color="auto" w:fill="auto"/>
              </w:rPr>
              <w:t>71 条的规定执行</w:t>
            </w:r>
          </w:p>
        </w:tc>
        <w:tc>
          <w:tcPr>
            <w:tcW w:w="40" w:type="dxa"/>
            <w:vAlign w:val="bottom"/>
          </w:tcPr>
          <w:p>
            <w:pPr>
              <w:spacing w:after="0"/>
              <w:rPr>
                <w:color w:val="auto"/>
                <w:sz w:val="18"/>
                <w:szCs w:val="18"/>
                <w:shd w:val="clear" w:color="auto" w:fill="auto"/>
              </w:rPr>
            </w:pPr>
          </w:p>
        </w:tc>
        <w:tc>
          <w:tcPr>
            <w:tcW w:w="980" w:type="dxa"/>
            <w:tcBorders>
              <w:right w:val="single" w:color="auto" w:sz="8" w:space="0"/>
            </w:tcBorders>
            <w:vAlign w:val="bottom"/>
          </w:tcPr>
          <w:p>
            <w:pPr>
              <w:spacing w:after="0"/>
              <w:rPr>
                <w:color w:val="auto"/>
                <w:sz w:val="18"/>
                <w:szCs w:val="1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32" w:hRule="atLeast"/>
        </w:trPr>
        <w:tc>
          <w:tcPr>
            <w:tcW w:w="1680" w:type="dxa"/>
            <w:tcBorders>
              <w:left w:val="single" w:color="auto" w:sz="8" w:space="0"/>
              <w:right w:val="single" w:color="auto" w:sz="8" w:space="0"/>
            </w:tcBorders>
            <w:vAlign w:val="bottom"/>
          </w:tcPr>
          <w:p>
            <w:pPr>
              <w:spacing w:after="0"/>
              <w:rPr>
                <w:color w:val="auto"/>
                <w:sz w:val="11"/>
                <w:szCs w:val="11"/>
                <w:shd w:val="clear" w:color="auto" w:fill="auto"/>
              </w:rPr>
            </w:pPr>
          </w:p>
        </w:tc>
        <w:tc>
          <w:tcPr>
            <w:tcW w:w="740" w:type="dxa"/>
            <w:vAlign w:val="bottom"/>
          </w:tcPr>
          <w:p>
            <w:pPr>
              <w:spacing w:after="0"/>
              <w:rPr>
                <w:color w:val="auto"/>
                <w:sz w:val="11"/>
                <w:szCs w:val="11"/>
                <w:shd w:val="clear" w:color="auto" w:fill="auto"/>
              </w:rPr>
            </w:pPr>
          </w:p>
        </w:tc>
        <w:tc>
          <w:tcPr>
            <w:tcW w:w="220" w:type="dxa"/>
            <w:tcBorders>
              <w:right w:val="single" w:color="auto" w:sz="8" w:space="0"/>
            </w:tcBorders>
            <w:vAlign w:val="bottom"/>
          </w:tcPr>
          <w:p>
            <w:pPr>
              <w:spacing w:after="0"/>
              <w:rPr>
                <w:color w:val="auto"/>
                <w:sz w:val="11"/>
                <w:szCs w:val="11"/>
                <w:shd w:val="clear" w:color="auto" w:fill="auto"/>
              </w:rPr>
            </w:pPr>
          </w:p>
        </w:tc>
        <w:tc>
          <w:tcPr>
            <w:tcW w:w="620" w:type="dxa"/>
            <w:tcBorders>
              <w:right w:val="single" w:color="auto" w:sz="8" w:space="0"/>
            </w:tcBorders>
            <w:vAlign w:val="bottom"/>
          </w:tcPr>
          <w:p>
            <w:pPr>
              <w:spacing w:after="0"/>
              <w:rPr>
                <w:color w:val="auto"/>
                <w:sz w:val="11"/>
                <w:szCs w:val="11"/>
                <w:shd w:val="clear" w:color="auto" w:fill="auto"/>
              </w:rPr>
            </w:pPr>
          </w:p>
        </w:tc>
        <w:tc>
          <w:tcPr>
            <w:tcW w:w="4860" w:type="dxa"/>
            <w:vMerge w:val="continue"/>
            <w:tcBorders>
              <w:right w:val="single" w:color="auto" w:sz="8" w:space="0"/>
            </w:tcBorders>
            <w:vAlign w:val="bottom"/>
          </w:tcPr>
          <w:p>
            <w:pPr>
              <w:spacing w:after="0"/>
              <w:rPr>
                <w:color w:val="auto"/>
                <w:sz w:val="11"/>
                <w:szCs w:val="11"/>
                <w:shd w:val="clear" w:color="auto" w:fill="auto"/>
              </w:rPr>
            </w:pPr>
          </w:p>
        </w:tc>
        <w:tc>
          <w:tcPr>
            <w:tcW w:w="40" w:type="dxa"/>
            <w:vAlign w:val="bottom"/>
          </w:tcPr>
          <w:p>
            <w:pPr>
              <w:spacing w:after="0"/>
              <w:rPr>
                <w:color w:val="auto"/>
                <w:sz w:val="11"/>
                <w:szCs w:val="11"/>
                <w:shd w:val="clear" w:color="auto" w:fill="auto"/>
              </w:rPr>
            </w:pPr>
          </w:p>
        </w:tc>
        <w:tc>
          <w:tcPr>
            <w:tcW w:w="980" w:type="dxa"/>
            <w:tcBorders>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53"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shd w:val="clear" w:color="auto" w:fill="auto"/>
              </w:rPr>
            </w:pPr>
          </w:p>
        </w:tc>
        <w:tc>
          <w:tcPr>
            <w:tcW w:w="740" w:type="dxa"/>
            <w:tcBorders>
              <w:bottom w:val="single" w:color="auto" w:sz="8" w:space="0"/>
            </w:tcBorders>
            <w:vAlign w:val="bottom"/>
          </w:tcPr>
          <w:p>
            <w:pPr>
              <w:spacing w:after="0"/>
              <w:rPr>
                <w:color w:val="auto"/>
                <w:sz w:val="4"/>
                <w:szCs w:val="4"/>
                <w:shd w:val="clear" w:color="auto" w:fill="auto"/>
              </w:rPr>
            </w:pPr>
          </w:p>
        </w:tc>
        <w:tc>
          <w:tcPr>
            <w:tcW w:w="2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62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86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40" w:type="dxa"/>
            <w:tcBorders>
              <w:bottom w:val="single" w:color="auto" w:sz="8" w:space="0"/>
            </w:tcBorders>
            <w:vAlign w:val="bottom"/>
          </w:tcPr>
          <w:p>
            <w:pPr>
              <w:spacing w:after="0"/>
              <w:rPr>
                <w:color w:val="auto"/>
                <w:sz w:val="4"/>
                <w:szCs w:val="4"/>
                <w:shd w:val="clear" w:color="auto" w:fill="auto"/>
              </w:rPr>
            </w:pPr>
          </w:p>
        </w:tc>
        <w:tc>
          <w:tcPr>
            <w:tcW w:w="980" w:type="dxa"/>
            <w:tcBorders>
              <w:bottom w:val="single" w:color="auto" w:sz="8" w:space="0"/>
              <w:right w:val="single" w:color="auto" w:sz="8" w:space="0"/>
            </w:tcBorders>
            <w:vAlign w:val="bottom"/>
          </w:tcPr>
          <w:p>
            <w:pPr>
              <w:spacing w:after="0"/>
              <w:rPr>
                <w:color w:val="auto"/>
                <w:sz w:val="4"/>
                <w:szCs w:val="4"/>
                <w:shd w:val="clear" w:color="auto" w:fill="auto"/>
              </w:rPr>
            </w:pPr>
          </w:p>
        </w:tc>
        <w:tc>
          <w:tcPr>
            <w:tcW w:w="0" w:type="dxa"/>
            <w:vAlign w:val="bottom"/>
          </w:tcPr>
          <w:p>
            <w:pPr>
              <w:spacing w:after="0"/>
              <w:rPr>
                <w:color w:val="auto"/>
                <w:sz w:val="1"/>
                <w:szCs w:val="1"/>
                <w:shd w:val="clear" w:color="auto" w:fill="auto"/>
              </w:rPr>
            </w:pPr>
          </w:p>
        </w:tc>
      </w:tr>
    </w:tbl>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line="274" w:lineRule="exact"/>
        <w:ind w:left="400"/>
        <w:rPr>
          <w:color w:val="auto"/>
          <w:sz w:val="20"/>
          <w:szCs w:val="20"/>
          <w:shd w:val="clear" w:color="auto" w:fill="auto"/>
        </w:rPr>
      </w:pPr>
      <w:r>
        <w:rPr>
          <w:rFonts w:ascii="楷体" w:hAnsi="楷体" w:eastAsia="楷体" w:cs="楷体"/>
          <w:b/>
          <w:bCs/>
          <w:color w:val="auto"/>
          <w:sz w:val="24"/>
          <w:szCs w:val="24"/>
          <w:shd w:val="clear" w:color="auto" w:fill="auto"/>
        </w:rPr>
        <w:t>（四）实施后果规定</w:t>
      </w:r>
    </w:p>
    <w:p>
      <w:pPr>
        <w:spacing w:after="0" w:line="217" w:lineRule="exact"/>
        <w:rPr>
          <w:color w:val="auto"/>
          <w:sz w:val="20"/>
          <w:szCs w:val="20"/>
          <w:shd w:val="clear" w:color="auto" w:fill="auto"/>
        </w:rPr>
      </w:pPr>
    </w:p>
    <w:p>
      <w:pPr>
        <w:spacing w:after="0" w:line="439" w:lineRule="exact"/>
        <w:ind w:left="40" w:firstLine="480"/>
        <w:jc w:val="both"/>
        <w:rPr>
          <w:color w:val="auto"/>
          <w:sz w:val="20"/>
          <w:szCs w:val="20"/>
          <w:shd w:val="clear" w:color="auto" w:fill="auto"/>
        </w:rPr>
      </w:pPr>
      <w:r>
        <w:rPr>
          <w:rFonts w:ascii="宋体" w:hAnsi="宋体" w:eastAsia="宋体" w:cs="宋体"/>
          <w:color w:val="auto"/>
          <w:sz w:val="23"/>
          <w:szCs w:val="23"/>
          <w:shd w:val="clear" w:color="auto" w:fill="auto"/>
        </w:rPr>
        <w:t>为保障有效实施，部分公立高校章程规定了实施后果机制（见表 4）。 首先，大部分公立高校章程对教职工、 学生良好遵守或违法章程的后果进行了规定。如北京大学章程第 20 条规定：“对成绩突出和为学校争得荣誉的教职工个人和集体予以表彰奖励，对违纪者依法依纪给予处理或者处分。”湖南师范大学章程第 43 条规定：“学校建立统一的表彰奖励和荣誉制度，对为国家、社会及学校做出突出贡献的教职工给予表彰、奖励。”其次，也有少部分公立高校章程对作为办学者的高校在违法、不当行使办学自主权时的责任予以规定。如东南高校章程第 16 条规定了举办者有根据法律、行政法规的授权对学校不当使用办学自主权的行为予以处罚及调整等的责任；第 17 条规定学校行</w:t>
      </w:r>
    </w:p>
    <w:p>
      <w:pPr>
        <w:spacing w:after="0" w:line="200" w:lineRule="exact"/>
        <w:rPr>
          <w:color w:val="auto"/>
          <w:sz w:val="20"/>
          <w:szCs w:val="20"/>
          <w:shd w:val="clear" w:color="auto" w:fill="auto"/>
        </w:rPr>
      </w:pPr>
    </w:p>
    <w:p>
      <w:pPr>
        <w:spacing w:after="0" w:line="234" w:lineRule="exact"/>
        <w:rPr>
          <w:color w:val="auto"/>
          <w:sz w:val="20"/>
          <w:szCs w:val="20"/>
          <w:shd w:val="clear" w:color="auto" w:fill="auto"/>
        </w:rPr>
      </w:pPr>
    </w:p>
    <w:p>
      <w:pPr>
        <w:spacing w:after="0"/>
        <w:ind w:right="8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19</w:t>
      </w:r>
    </w:p>
    <w:p>
      <w:pPr>
        <w:rPr>
          <w:shd w:val="clear" w:color="auto" w:fill="auto"/>
        </w:rPr>
        <w:sectPr>
          <w:pgSz w:w="11900" w:h="16840"/>
          <w:pgMar w:top="1419" w:right="1304" w:bottom="587" w:left="1380" w:header="0" w:footer="0" w:gutter="0"/>
          <w:cols w:equalWidth="0" w:num="1">
            <w:col w:w="9220"/>
          </w:cols>
        </w:sectPr>
      </w:pPr>
    </w:p>
    <w:p>
      <w:pPr>
        <w:spacing w:after="0" w:line="13" w:lineRule="exact"/>
        <w:rPr>
          <w:color w:val="auto"/>
          <w:sz w:val="20"/>
          <w:szCs w:val="20"/>
          <w:shd w:val="clear" w:color="auto" w:fill="auto"/>
        </w:rPr>
      </w:pPr>
      <w:bookmarkStart w:id="22" w:name="page22"/>
      <w:bookmarkEnd w:id="22"/>
    </w:p>
    <w:p>
      <w:pPr>
        <w:spacing w:after="0" w:line="443" w:lineRule="exact"/>
        <w:ind w:left="40"/>
        <w:rPr>
          <w:color w:val="auto"/>
          <w:sz w:val="20"/>
          <w:szCs w:val="20"/>
          <w:shd w:val="clear" w:color="auto" w:fill="auto"/>
        </w:rPr>
      </w:pPr>
      <w:r>
        <w:rPr>
          <w:rFonts w:ascii="宋体" w:hAnsi="宋体" w:eastAsia="宋体" w:cs="宋体"/>
          <w:color w:val="auto"/>
          <w:sz w:val="24"/>
          <w:szCs w:val="24"/>
          <w:shd w:val="clear" w:color="auto" w:fill="auto"/>
        </w:rPr>
        <w:t>使自主权做出的决定内容若有违反法律、行政法规、本章程以及学校相应规章制度规定与程序的无效和被撤销。但是，所有的公立高校章程没有对举办者违反章程的责任进行规定，从而影响到章程对举办者权力约束与政府管理去行政化改革功效的发挥。更为重要的是，大部分公立高校章程对高校党委会、校长及其行政部门、 学术委员会等违反章程行为的类型、责任承担及追究等没有规定，不仅导致对其滥用职权等违反章程的行为难以追究，而且“一旦学校领导者的决策与高校章程发生矛盾时， 往往会据己所需，更改章程的有关内容和程序，导致章程的严肃性、民主性难以应对高校的法律纠纷。”</w:t>
      </w:r>
      <w:r>
        <w:rPr>
          <w:rFonts w:ascii="宋体" w:hAnsi="宋体" w:eastAsia="宋体" w:cs="宋体"/>
          <w:color w:val="auto"/>
          <w:sz w:val="24"/>
          <w:szCs w:val="24"/>
          <w:shd w:val="clear" w:color="auto" w:fill="auto"/>
          <w:vertAlign w:val="superscript"/>
        </w:rPr>
        <w:t>［3］</w:t>
      </w:r>
      <w:r>
        <w:rPr>
          <w:rFonts w:ascii="宋体" w:hAnsi="宋体" w:eastAsia="宋体" w:cs="宋体"/>
          <w:color w:val="auto"/>
          <w:sz w:val="24"/>
          <w:szCs w:val="24"/>
          <w:shd w:val="clear" w:color="auto" w:fill="auto"/>
        </w:rPr>
        <w:t>“我国大学章程条款的逻辑结构不完整，责任承担问题模糊不清，使得大学章程在实践中缺乏可操作性。”</w:t>
      </w:r>
      <w:r>
        <w:rPr>
          <w:rFonts w:ascii="宋体" w:hAnsi="宋体" w:eastAsia="宋体" w:cs="宋体"/>
          <w:color w:val="auto"/>
          <w:sz w:val="24"/>
          <w:szCs w:val="24"/>
          <w:shd w:val="clear" w:color="auto" w:fill="auto"/>
          <w:vertAlign w:val="superscript"/>
        </w:rPr>
        <w:t>［4］</w:t>
      </w:r>
    </w:p>
    <w:p>
      <w:pPr>
        <w:spacing w:after="0" w:line="187" w:lineRule="exact"/>
        <w:rPr>
          <w:color w:val="auto"/>
          <w:sz w:val="20"/>
          <w:szCs w:val="20"/>
          <w:shd w:val="clear" w:color="auto" w:fill="auto"/>
        </w:rPr>
      </w:pPr>
    </w:p>
    <w:p>
      <w:pPr>
        <w:tabs>
          <w:tab w:val="left" w:pos="180"/>
        </w:tabs>
        <w:spacing w:after="0" w:line="240" w:lineRule="exact"/>
        <w:ind w:right="-239"/>
        <w:jc w:val="center"/>
        <w:rPr>
          <w:color w:val="auto"/>
          <w:sz w:val="20"/>
          <w:szCs w:val="20"/>
          <w:shd w:val="clear" w:color="auto" w:fill="auto"/>
        </w:rPr>
      </w:pPr>
      <w:r>
        <w:rPr>
          <w:rFonts w:ascii="黑体" w:hAnsi="黑体" w:eastAsia="黑体" w:cs="黑体"/>
          <w:b/>
          <w:bCs/>
          <w:color w:val="auto"/>
          <w:sz w:val="21"/>
          <w:szCs w:val="21"/>
          <w:shd w:val="clear" w:color="auto" w:fill="auto"/>
        </w:rPr>
        <w:t>表 4</w:t>
      </w:r>
      <w:r>
        <w:rPr>
          <w:color w:val="auto"/>
          <w:sz w:val="20"/>
          <w:szCs w:val="20"/>
          <w:shd w:val="clear" w:color="auto" w:fill="auto"/>
        </w:rPr>
        <w:tab/>
      </w:r>
      <w:r>
        <w:rPr>
          <w:rFonts w:ascii="黑体" w:hAnsi="黑体" w:eastAsia="黑体" w:cs="黑体"/>
          <w:b/>
          <w:bCs/>
          <w:color w:val="auto"/>
          <w:sz w:val="20"/>
          <w:szCs w:val="20"/>
          <w:shd w:val="clear" w:color="auto" w:fill="auto"/>
        </w:rPr>
        <w:t>6 所公立高校章程关于高校章程实施后果规定</w:t>
      </w:r>
    </w:p>
    <w:p>
      <w:pPr>
        <w:spacing w:after="0" w:line="146" w:lineRule="exact"/>
        <w:rPr>
          <w:color w:val="auto"/>
          <w:sz w:val="20"/>
          <w:szCs w:val="20"/>
          <w:shd w:val="clear" w:color="auto" w:fill="auto"/>
        </w:rPr>
      </w:pPr>
    </w:p>
    <w:tbl>
      <w:tblPr>
        <w:tblStyle w:val="3"/>
        <w:tblW w:w="9520" w:type="dxa"/>
        <w:tblInd w:w="10" w:type="dxa"/>
        <w:tblLayout w:type="fixed"/>
        <w:tblCellMar>
          <w:top w:w="0" w:type="dxa"/>
          <w:left w:w="0" w:type="dxa"/>
          <w:bottom w:w="0" w:type="dxa"/>
          <w:right w:w="0" w:type="dxa"/>
        </w:tblCellMar>
      </w:tblPr>
      <w:tblGrid>
        <w:gridCol w:w="1840"/>
        <w:gridCol w:w="2260"/>
        <w:gridCol w:w="1400"/>
        <w:gridCol w:w="2060"/>
        <w:gridCol w:w="1600"/>
        <w:gridCol w:w="360"/>
      </w:tblGrid>
      <w:tr>
        <w:tblPrEx>
          <w:tblLayout w:type="fixed"/>
          <w:tblCellMar>
            <w:top w:w="0" w:type="dxa"/>
            <w:left w:w="0" w:type="dxa"/>
            <w:bottom w:w="0" w:type="dxa"/>
            <w:right w:w="0" w:type="dxa"/>
          </w:tblCellMar>
        </w:tblPrEx>
        <w:trPr>
          <w:trHeight w:val="323" w:hRule="atLeast"/>
        </w:trPr>
        <w:tc>
          <w:tcPr>
            <w:tcW w:w="1840" w:type="dxa"/>
            <w:tcBorders>
              <w:top w:val="single" w:color="auto" w:sz="8" w:space="0"/>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w w:val="99"/>
                <w:sz w:val="21"/>
                <w:szCs w:val="21"/>
                <w:shd w:val="clear" w:color="auto" w:fill="auto"/>
              </w:rPr>
              <w:t>高校章程</w:t>
            </w:r>
          </w:p>
        </w:tc>
        <w:tc>
          <w:tcPr>
            <w:tcW w:w="2260" w:type="dxa"/>
            <w:tcBorders>
              <w:top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w w:val="99"/>
                <w:sz w:val="21"/>
                <w:szCs w:val="21"/>
                <w:shd w:val="clear" w:color="auto" w:fill="auto"/>
              </w:rPr>
              <w:t>举办者与办学者</w:t>
            </w:r>
          </w:p>
        </w:tc>
        <w:tc>
          <w:tcPr>
            <w:tcW w:w="1400" w:type="dxa"/>
            <w:tcBorders>
              <w:top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sz w:val="21"/>
                <w:szCs w:val="21"/>
                <w:shd w:val="clear" w:color="auto" w:fill="auto"/>
              </w:rPr>
              <w:t>学校管理主体</w:t>
            </w:r>
          </w:p>
        </w:tc>
        <w:tc>
          <w:tcPr>
            <w:tcW w:w="2060" w:type="dxa"/>
            <w:tcBorders>
              <w:top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sz w:val="21"/>
                <w:szCs w:val="21"/>
                <w:shd w:val="clear" w:color="auto" w:fill="auto"/>
              </w:rPr>
              <w:t>学校教职工、学生</w:t>
            </w:r>
          </w:p>
        </w:tc>
        <w:tc>
          <w:tcPr>
            <w:tcW w:w="1600" w:type="dxa"/>
            <w:tcBorders>
              <w:top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b/>
                <w:bCs/>
                <w:color w:val="auto"/>
                <w:w w:val="99"/>
                <w:sz w:val="21"/>
                <w:szCs w:val="21"/>
                <w:shd w:val="clear" w:color="auto" w:fill="auto"/>
              </w:rPr>
              <w:t>规定条款</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03" w:hRule="atLeast"/>
        </w:trPr>
        <w:tc>
          <w:tcPr>
            <w:tcW w:w="1840" w:type="dxa"/>
            <w:tcBorders>
              <w:left w:val="single" w:color="auto" w:sz="8" w:space="0"/>
              <w:bottom w:val="single" w:color="auto" w:sz="8" w:space="0"/>
              <w:right w:val="single" w:color="auto" w:sz="8" w:space="0"/>
            </w:tcBorders>
            <w:vAlign w:val="bottom"/>
          </w:tcPr>
          <w:p>
            <w:pPr>
              <w:spacing w:after="0"/>
              <w:rPr>
                <w:color w:val="auto"/>
                <w:sz w:val="8"/>
                <w:szCs w:val="8"/>
                <w:shd w:val="clear" w:color="auto" w:fill="auto"/>
              </w:rPr>
            </w:pPr>
          </w:p>
        </w:tc>
        <w:tc>
          <w:tcPr>
            <w:tcW w:w="226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4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06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6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294" w:hRule="atLeast"/>
        </w:trPr>
        <w:tc>
          <w:tcPr>
            <w:tcW w:w="184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2260" w:type="dxa"/>
            <w:tcBorders>
              <w:right w:val="single" w:color="auto" w:sz="8" w:space="0"/>
            </w:tcBorders>
            <w:vAlign w:val="bottom"/>
          </w:tcPr>
          <w:p>
            <w:pPr>
              <w:spacing w:after="0"/>
              <w:rPr>
                <w:color w:val="auto"/>
                <w:sz w:val="24"/>
                <w:szCs w:val="24"/>
                <w:shd w:val="clear" w:color="auto" w:fill="auto"/>
              </w:rPr>
            </w:pPr>
          </w:p>
        </w:tc>
        <w:tc>
          <w:tcPr>
            <w:tcW w:w="1400" w:type="dxa"/>
            <w:tcBorders>
              <w:right w:val="single" w:color="auto" w:sz="8" w:space="0"/>
            </w:tcBorders>
            <w:vAlign w:val="bottom"/>
          </w:tcPr>
          <w:p>
            <w:pPr>
              <w:spacing w:after="0"/>
              <w:rPr>
                <w:color w:val="auto"/>
                <w:sz w:val="24"/>
                <w:szCs w:val="24"/>
                <w:shd w:val="clear" w:color="auto" w:fill="auto"/>
              </w:rPr>
            </w:pPr>
          </w:p>
        </w:tc>
        <w:tc>
          <w:tcPr>
            <w:tcW w:w="20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表彰奖励、处理或处</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7"/>
                <w:sz w:val="21"/>
                <w:szCs w:val="21"/>
                <w:shd w:val="clear" w:color="auto" w:fill="auto"/>
              </w:rPr>
              <w:t>第 20 条，第 23</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840" w:type="dxa"/>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北京大学章程</w:t>
            </w:r>
          </w:p>
        </w:tc>
        <w:tc>
          <w:tcPr>
            <w:tcW w:w="22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4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分、撤销授予学位、</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条，第 27 条，</w:t>
            </w:r>
          </w:p>
        </w:tc>
        <w:tc>
          <w:tcPr>
            <w:tcW w:w="0" w:type="dxa"/>
            <w:vAlign w:val="bottom"/>
          </w:tcPr>
          <w:p>
            <w:pPr>
              <w:spacing w:after="0"/>
              <w:rPr>
                <w:color w:val="auto"/>
                <w:sz w:val="1"/>
                <w:szCs w:val="1"/>
                <w:shd w:val="clear" w:color="auto" w:fill="auto"/>
              </w:rPr>
            </w:pPr>
          </w:p>
        </w:tc>
      </w:tr>
      <w:tr>
        <w:tblPrEx>
          <w:tblLayout w:type="fixed"/>
        </w:tblPrEx>
        <w:trPr>
          <w:trHeight w:val="312" w:hRule="atLeast"/>
        </w:trPr>
        <w:tc>
          <w:tcPr>
            <w:tcW w:w="184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2260" w:type="dxa"/>
            <w:tcBorders>
              <w:right w:val="single" w:color="auto" w:sz="8" w:space="0"/>
            </w:tcBorders>
            <w:vAlign w:val="bottom"/>
          </w:tcPr>
          <w:p>
            <w:pPr>
              <w:spacing w:after="0"/>
              <w:rPr>
                <w:color w:val="auto"/>
                <w:sz w:val="24"/>
                <w:szCs w:val="24"/>
                <w:shd w:val="clear" w:color="auto" w:fill="auto"/>
              </w:rPr>
            </w:pPr>
          </w:p>
        </w:tc>
        <w:tc>
          <w:tcPr>
            <w:tcW w:w="1400" w:type="dxa"/>
            <w:tcBorders>
              <w:right w:val="single" w:color="auto" w:sz="8" w:space="0"/>
            </w:tcBorders>
            <w:vAlign w:val="bottom"/>
          </w:tcPr>
          <w:p>
            <w:pPr>
              <w:spacing w:after="0"/>
              <w:rPr>
                <w:color w:val="auto"/>
                <w:sz w:val="24"/>
                <w:szCs w:val="24"/>
                <w:shd w:val="clear" w:color="auto" w:fill="auto"/>
              </w:rPr>
            </w:pPr>
          </w:p>
        </w:tc>
        <w:tc>
          <w:tcPr>
            <w:tcW w:w="20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撤销学术称号</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28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98" w:hRule="atLeast"/>
        </w:trPr>
        <w:tc>
          <w:tcPr>
            <w:tcW w:w="1840" w:type="dxa"/>
            <w:tcBorders>
              <w:left w:val="single" w:color="auto" w:sz="8" w:space="0"/>
              <w:bottom w:val="single" w:color="auto" w:sz="8" w:space="0"/>
              <w:right w:val="single" w:color="auto" w:sz="8" w:space="0"/>
            </w:tcBorders>
            <w:vAlign w:val="bottom"/>
          </w:tcPr>
          <w:p>
            <w:pPr>
              <w:spacing w:after="0"/>
              <w:rPr>
                <w:color w:val="auto"/>
                <w:sz w:val="8"/>
                <w:szCs w:val="8"/>
                <w:shd w:val="clear" w:color="auto" w:fill="auto"/>
              </w:rPr>
            </w:pPr>
          </w:p>
        </w:tc>
        <w:tc>
          <w:tcPr>
            <w:tcW w:w="226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4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206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1600" w:type="dxa"/>
            <w:tcBorders>
              <w:bottom w:val="single" w:color="auto" w:sz="8" w:space="0"/>
              <w:right w:val="single" w:color="auto" w:sz="8" w:space="0"/>
            </w:tcBorders>
            <w:vAlign w:val="bottom"/>
          </w:tcPr>
          <w:p>
            <w:pPr>
              <w:spacing w:after="0"/>
              <w:rPr>
                <w:color w:val="auto"/>
                <w:sz w:val="8"/>
                <w:szCs w:val="8"/>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3" w:hRule="atLeast"/>
        </w:trPr>
        <w:tc>
          <w:tcPr>
            <w:tcW w:w="1840" w:type="dxa"/>
            <w:vMerge w:val="restart"/>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中国人民大学章程</w:t>
            </w: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4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表彰奖励，纪律处分</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13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vMerge w:val="continue"/>
            <w:tcBorders>
              <w:right w:val="single" w:color="auto" w:sz="8" w:space="0"/>
            </w:tcBorders>
            <w:vAlign w:val="bottom"/>
          </w:tcPr>
          <w:p>
            <w:pPr>
              <w:spacing w:after="0"/>
              <w:rPr>
                <w:color w:val="auto"/>
                <w:sz w:val="13"/>
                <w:szCs w:val="13"/>
                <w:shd w:val="clear" w:color="auto" w:fill="auto"/>
              </w:rPr>
            </w:pPr>
          </w:p>
        </w:tc>
        <w:tc>
          <w:tcPr>
            <w:tcW w:w="2060" w:type="dxa"/>
            <w:vMerge w:val="continue"/>
            <w:tcBorders>
              <w:right w:val="single" w:color="auto" w:sz="8" w:space="0"/>
            </w:tcBorders>
            <w:vAlign w:val="bottom"/>
          </w:tcPr>
          <w:p>
            <w:pPr>
              <w:spacing w:after="0"/>
              <w:rPr>
                <w:color w:val="auto"/>
                <w:sz w:val="13"/>
                <w:szCs w:val="13"/>
                <w:shd w:val="clear" w:color="auto" w:fill="auto"/>
              </w:rPr>
            </w:pP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24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tcBorders>
              <w:right w:val="single" w:color="auto" w:sz="8" w:space="0"/>
            </w:tcBorders>
            <w:vAlign w:val="bottom"/>
          </w:tcPr>
          <w:p>
            <w:pPr>
              <w:spacing w:after="0"/>
              <w:rPr>
                <w:color w:val="auto"/>
                <w:sz w:val="13"/>
                <w:szCs w:val="13"/>
                <w:shd w:val="clear" w:color="auto" w:fill="auto"/>
              </w:rPr>
            </w:pP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tcBorders>
              <w:right w:val="single" w:color="auto" w:sz="8" w:space="0"/>
            </w:tcBorders>
            <w:vAlign w:val="bottom"/>
          </w:tcPr>
          <w:p>
            <w:pPr>
              <w:spacing w:after="0"/>
              <w:rPr>
                <w:color w:val="auto"/>
                <w:sz w:val="13"/>
                <w:szCs w:val="13"/>
                <w:shd w:val="clear" w:color="auto" w:fill="auto"/>
              </w:rPr>
            </w:pP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5" w:hRule="atLeast"/>
        </w:trPr>
        <w:tc>
          <w:tcPr>
            <w:tcW w:w="184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2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4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20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6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8" w:hRule="atLeast"/>
        </w:trPr>
        <w:tc>
          <w:tcPr>
            <w:tcW w:w="184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22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对学校不当行使办学自</w:t>
            </w:r>
          </w:p>
        </w:tc>
        <w:tc>
          <w:tcPr>
            <w:tcW w:w="1400" w:type="dxa"/>
            <w:tcBorders>
              <w:right w:val="single" w:color="auto" w:sz="8" w:space="0"/>
            </w:tcBorders>
            <w:vAlign w:val="bottom"/>
          </w:tcPr>
          <w:p>
            <w:pPr>
              <w:spacing w:after="0"/>
              <w:rPr>
                <w:color w:val="auto"/>
                <w:sz w:val="24"/>
                <w:szCs w:val="24"/>
                <w:shd w:val="clear" w:color="auto" w:fill="auto"/>
              </w:rPr>
            </w:pPr>
          </w:p>
        </w:tc>
        <w:tc>
          <w:tcPr>
            <w:tcW w:w="2060" w:type="dxa"/>
            <w:tcBorders>
              <w:right w:val="single" w:color="auto" w:sz="8" w:space="0"/>
            </w:tcBorders>
            <w:vAlign w:val="bottom"/>
          </w:tcPr>
          <w:p>
            <w:pPr>
              <w:spacing w:after="0"/>
              <w:rPr>
                <w:color w:val="auto"/>
                <w:sz w:val="24"/>
                <w:szCs w:val="24"/>
                <w:shd w:val="clear" w:color="auto" w:fill="auto"/>
              </w:rPr>
            </w:pP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12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restart"/>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吉林大学章程</w:t>
            </w: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主权的行为予以纠正或</w:t>
            </w:r>
          </w:p>
        </w:tc>
        <w:tc>
          <w:tcPr>
            <w:tcW w:w="14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表彰奖励，纪律处分</w:t>
            </w: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vMerge w:val="continue"/>
            <w:tcBorders>
              <w:right w:val="single" w:color="auto" w:sz="8" w:space="0"/>
            </w:tcBorders>
            <w:vAlign w:val="bottom"/>
          </w:tcPr>
          <w:p>
            <w:pPr>
              <w:spacing w:after="0"/>
              <w:rPr>
                <w:color w:val="auto"/>
                <w:sz w:val="13"/>
                <w:szCs w:val="13"/>
                <w:shd w:val="clear" w:color="auto" w:fill="auto"/>
              </w:rPr>
            </w:pPr>
          </w:p>
        </w:tc>
        <w:tc>
          <w:tcPr>
            <w:tcW w:w="2060" w:type="dxa"/>
            <w:vMerge w:val="continue"/>
            <w:tcBorders>
              <w:right w:val="single" w:color="auto" w:sz="8" w:space="0"/>
            </w:tcBorders>
            <w:vAlign w:val="bottom"/>
          </w:tcPr>
          <w:p>
            <w:pPr>
              <w:spacing w:after="0"/>
              <w:rPr>
                <w:color w:val="auto"/>
                <w:sz w:val="13"/>
                <w:szCs w:val="13"/>
                <w:shd w:val="clear" w:color="auto" w:fill="auto"/>
              </w:rPr>
            </w:pP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72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8"/>
                <w:sz w:val="21"/>
                <w:szCs w:val="21"/>
                <w:shd w:val="clear" w:color="auto" w:fill="auto"/>
              </w:rPr>
              <w:t>处罚等</w:t>
            </w: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tcBorders>
              <w:right w:val="single" w:color="auto" w:sz="8" w:space="0"/>
            </w:tcBorders>
            <w:vAlign w:val="bottom"/>
          </w:tcPr>
          <w:p>
            <w:pPr>
              <w:spacing w:after="0"/>
              <w:rPr>
                <w:color w:val="auto"/>
                <w:sz w:val="13"/>
                <w:szCs w:val="13"/>
                <w:shd w:val="clear" w:color="auto" w:fill="auto"/>
              </w:rPr>
            </w:pP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tcBorders>
              <w:right w:val="single" w:color="auto" w:sz="8" w:space="0"/>
            </w:tcBorders>
            <w:vAlign w:val="bottom"/>
          </w:tcPr>
          <w:p>
            <w:pPr>
              <w:spacing w:after="0"/>
              <w:rPr>
                <w:color w:val="auto"/>
                <w:sz w:val="13"/>
                <w:szCs w:val="13"/>
                <w:shd w:val="clear" w:color="auto" w:fill="auto"/>
              </w:rPr>
            </w:pPr>
          </w:p>
        </w:tc>
        <w:tc>
          <w:tcPr>
            <w:tcW w:w="1600" w:type="dxa"/>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30" w:hRule="atLeast"/>
        </w:trPr>
        <w:tc>
          <w:tcPr>
            <w:tcW w:w="1840" w:type="dxa"/>
            <w:tcBorders>
              <w:left w:val="single" w:color="auto" w:sz="8" w:space="0"/>
              <w:bottom w:val="single" w:color="auto" w:sz="8" w:space="0"/>
              <w:right w:val="single" w:color="auto" w:sz="8" w:space="0"/>
            </w:tcBorders>
            <w:vAlign w:val="bottom"/>
          </w:tcPr>
          <w:p>
            <w:pPr>
              <w:spacing w:after="0"/>
              <w:rPr>
                <w:color w:val="auto"/>
                <w:sz w:val="11"/>
                <w:szCs w:val="11"/>
                <w:shd w:val="clear" w:color="auto" w:fill="auto"/>
              </w:rPr>
            </w:pPr>
          </w:p>
        </w:tc>
        <w:tc>
          <w:tcPr>
            <w:tcW w:w="226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4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06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6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4" w:hRule="atLeast"/>
        </w:trPr>
        <w:tc>
          <w:tcPr>
            <w:tcW w:w="184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22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不当使用办学自主权的</w:t>
            </w:r>
          </w:p>
        </w:tc>
        <w:tc>
          <w:tcPr>
            <w:tcW w:w="1400" w:type="dxa"/>
            <w:tcBorders>
              <w:right w:val="single" w:color="auto" w:sz="8" w:space="0"/>
            </w:tcBorders>
            <w:vAlign w:val="bottom"/>
          </w:tcPr>
          <w:p>
            <w:pPr>
              <w:spacing w:after="0"/>
              <w:rPr>
                <w:color w:val="auto"/>
                <w:sz w:val="24"/>
                <w:szCs w:val="24"/>
                <w:shd w:val="clear" w:color="auto" w:fill="auto"/>
              </w:rPr>
            </w:pPr>
          </w:p>
        </w:tc>
        <w:tc>
          <w:tcPr>
            <w:tcW w:w="2060" w:type="dxa"/>
            <w:tcBorders>
              <w:right w:val="single" w:color="auto" w:sz="8" w:space="0"/>
            </w:tcBorders>
            <w:vAlign w:val="bottom"/>
          </w:tcPr>
          <w:p>
            <w:pPr>
              <w:spacing w:after="0"/>
              <w:rPr>
                <w:color w:val="auto"/>
                <w:sz w:val="24"/>
                <w:szCs w:val="24"/>
                <w:shd w:val="clear" w:color="auto" w:fill="auto"/>
              </w:rPr>
            </w:pPr>
          </w:p>
        </w:tc>
        <w:tc>
          <w:tcPr>
            <w:tcW w:w="16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840" w:type="dxa"/>
            <w:vMerge w:val="restart"/>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东南大学章程</w:t>
            </w:r>
          </w:p>
        </w:tc>
        <w:tc>
          <w:tcPr>
            <w:tcW w:w="22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行为予以处罚及调整，</w:t>
            </w:r>
          </w:p>
        </w:tc>
        <w:tc>
          <w:tcPr>
            <w:tcW w:w="14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14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办学自主权决定无效或</w:t>
            </w:r>
          </w:p>
        </w:tc>
        <w:tc>
          <w:tcPr>
            <w:tcW w:w="1400" w:type="dxa"/>
            <w:vMerge w:val="continue"/>
            <w:tcBorders>
              <w:right w:val="single" w:color="auto" w:sz="8" w:space="0"/>
            </w:tcBorders>
            <w:vAlign w:val="bottom"/>
          </w:tcPr>
          <w:p>
            <w:pPr>
              <w:spacing w:after="0"/>
              <w:rPr>
                <w:color w:val="auto"/>
                <w:sz w:val="13"/>
                <w:szCs w:val="13"/>
                <w:shd w:val="clear" w:color="auto" w:fill="auto"/>
              </w:rPr>
            </w:pPr>
          </w:p>
        </w:tc>
        <w:tc>
          <w:tcPr>
            <w:tcW w:w="2060" w:type="dxa"/>
            <w:vMerge w:val="continue"/>
            <w:tcBorders>
              <w:right w:val="single" w:color="auto" w:sz="8" w:space="0"/>
            </w:tcBorders>
            <w:vAlign w:val="bottom"/>
          </w:tcPr>
          <w:p>
            <w:pPr>
              <w:spacing w:after="0"/>
              <w:rPr>
                <w:color w:val="auto"/>
                <w:sz w:val="13"/>
                <w:szCs w:val="13"/>
                <w:shd w:val="clear" w:color="auto" w:fill="auto"/>
              </w:rPr>
            </w:pP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17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tcBorders>
              <w:right w:val="single" w:color="auto" w:sz="8" w:space="0"/>
            </w:tcBorders>
            <w:vAlign w:val="bottom"/>
          </w:tcPr>
          <w:p>
            <w:pPr>
              <w:spacing w:after="0"/>
              <w:rPr>
                <w:color w:val="auto"/>
                <w:sz w:val="13"/>
                <w:szCs w:val="13"/>
                <w:shd w:val="clear" w:color="auto" w:fill="auto"/>
              </w:rPr>
            </w:pP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12" w:hRule="atLeast"/>
        </w:trPr>
        <w:tc>
          <w:tcPr>
            <w:tcW w:w="1840" w:type="dxa"/>
            <w:tcBorders>
              <w:left w:val="single" w:color="auto" w:sz="8" w:space="0"/>
              <w:right w:val="single" w:color="auto" w:sz="8" w:space="0"/>
            </w:tcBorders>
            <w:vAlign w:val="bottom"/>
          </w:tcPr>
          <w:p>
            <w:pPr>
              <w:spacing w:after="0"/>
              <w:rPr>
                <w:color w:val="auto"/>
                <w:sz w:val="24"/>
                <w:szCs w:val="24"/>
                <w:shd w:val="clear" w:color="auto" w:fill="auto"/>
              </w:rPr>
            </w:pPr>
          </w:p>
        </w:tc>
        <w:tc>
          <w:tcPr>
            <w:tcW w:w="22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撤销</w:t>
            </w:r>
          </w:p>
        </w:tc>
        <w:tc>
          <w:tcPr>
            <w:tcW w:w="1400" w:type="dxa"/>
            <w:tcBorders>
              <w:right w:val="single" w:color="auto" w:sz="8" w:space="0"/>
            </w:tcBorders>
            <w:vAlign w:val="bottom"/>
          </w:tcPr>
          <w:p>
            <w:pPr>
              <w:spacing w:after="0"/>
              <w:rPr>
                <w:color w:val="auto"/>
                <w:sz w:val="24"/>
                <w:szCs w:val="24"/>
                <w:shd w:val="clear" w:color="auto" w:fill="auto"/>
              </w:rPr>
            </w:pPr>
          </w:p>
        </w:tc>
        <w:tc>
          <w:tcPr>
            <w:tcW w:w="2060" w:type="dxa"/>
            <w:tcBorders>
              <w:right w:val="single" w:color="auto" w:sz="8" w:space="0"/>
            </w:tcBorders>
            <w:vAlign w:val="bottom"/>
          </w:tcPr>
          <w:p>
            <w:pPr>
              <w:spacing w:after="0"/>
              <w:rPr>
                <w:color w:val="auto"/>
                <w:sz w:val="24"/>
                <w:szCs w:val="24"/>
                <w:shd w:val="clear" w:color="auto" w:fill="auto"/>
              </w:rPr>
            </w:pPr>
          </w:p>
        </w:tc>
        <w:tc>
          <w:tcPr>
            <w:tcW w:w="1600" w:type="dxa"/>
            <w:tcBorders>
              <w:right w:val="single" w:color="auto" w:sz="8" w:space="0"/>
            </w:tcBorders>
            <w:vAlign w:val="bottom"/>
          </w:tcPr>
          <w:p>
            <w:pPr>
              <w:spacing w:after="0"/>
              <w:rPr>
                <w:color w:val="auto"/>
                <w:sz w:val="24"/>
                <w:szCs w:val="24"/>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15" w:hRule="atLeast"/>
        </w:trPr>
        <w:tc>
          <w:tcPr>
            <w:tcW w:w="184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2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4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20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6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3" w:hRule="atLeast"/>
        </w:trPr>
        <w:tc>
          <w:tcPr>
            <w:tcW w:w="1840" w:type="dxa"/>
            <w:vMerge w:val="restart"/>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吉首大学章程</w:t>
            </w: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4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102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vMerge w:val="continue"/>
            <w:tcBorders>
              <w:right w:val="single" w:color="auto" w:sz="8" w:space="0"/>
            </w:tcBorders>
            <w:vAlign w:val="bottom"/>
          </w:tcPr>
          <w:p>
            <w:pPr>
              <w:spacing w:after="0"/>
              <w:rPr>
                <w:color w:val="auto"/>
                <w:sz w:val="13"/>
                <w:szCs w:val="13"/>
                <w:shd w:val="clear" w:color="auto" w:fill="auto"/>
              </w:rPr>
            </w:pPr>
          </w:p>
        </w:tc>
        <w:tc>
          <w:tcPr>
            <w:tcW w:w="2060" w:type="dxa"/>
            <w:vMerge w:val="continue"/>
            <w:tcBorders>
              <w:right w:val="single" w:color="auto" w:sz="8" w:space="0"/>
            </w:tcBorders>
            <w:vAlign w:val="bottom"/>
          </w:tcPr>
          <w:p>
            <w:pPr>
              <w:spacing w:after="0"/>
              <w:rPr>
                <w:color w:val="auto"/>
                <w:sz w:val="13"/>
                <w:szCs w:val="13"/>
                <w:shd w:val="clear" w:color="auto" w:fill="auto"/>
              </w:rPr>
            </w:pP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97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tcBorders>
              <w:right w:val="single" w:color="auto" w:sz="8" w:space="0"/>
            </w:tcBorders>
            <w:vAlign w:val="bottom"/>
          </w:tcPr>
          <w:p>
            <w:pPr>
              <w:spacing w:after="0"/>
              <w:rPr>
                <w:color w:val="auto"/>
                <w:sz w:val="13"/>
                <w:szCs w:val="13"/>
                <w:shd w:val="clear" w:color="auto" w:fill="auto"/>
              </w:rPr>
            </w:pP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tcBorders>
              <w:right w:val="single" w:color="auto" w:sz="8" w:space="0"/>
            </w:tcBorders>
            <w:vAlign w:val="bottom"/>
          </w:tcPr>
          <w:p>
            <w:pPr>
              <w:spacing w:after="0"/>
              <w:rPr>
                <w:color w:val="auto"/>
                <w:sz w:val="13"/>
                <w:szCs w:val="13"/>
                <w:shd w:val="clear" w:color="auto" w:fill="auto"/>
              </w:rPr>
            </w:pP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25" w:hRule="atLeast"/>
        </w:trPr>
        <w:tc>
          <w:tcPr>
            <w:tcW w:w="1840" w:type="dxa"/>
            <w:tcBorders>
              <w:left w:val="single" w:color="auto" w:sz="8" w:space="0"/>
              <w:bottom w:val="single" w:color="auto" w:sz="8" w:space="0"/>
              <w:right w:val="single" w:color="auto" w:sz="8" w:space="0"/>
            </w:tcBorders>
            <w:vAlign w:val="bottom"/>
          </w:tcPr>
          <w:p>
            <w:pPr>
              <w:spacing w:after="0"/>
              <w:rPr>
                <w:color w:val="auto"/>
                <w:sz w:val="10"/>
                <w:szCs w:val="10"/>
                <w:shd w:val="clear" w:color="auto" w:fill="auto"/>
              </w:rPr>
            </w:pPr>
          </w:p>
        </w:tc>
        <w:tc>
          <w:tcPr>
            <w:tcW w:w="22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4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206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1600" w:type="dxa"/>
            <w:tcBorders>
              <w:bottom w:val="single" w:color="auto" w:sz="8" w:space="0"/>
              <w:right w:val="single" w:color="auto" w:sz="8" w:space="0"/>
            </w:tcBorders>
            <w:vAlign w:val="bottom"/>
          </w:tcPr>
          <w:p>
            <w:pPr>
              <w:spacing w:after="0"/>
              <w:rPr>
                <w:color w:val="auto"/>
                <w:sz w:val="10"/>
                <w:szCs w:val="10"/>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328" w:hRule="atLeast"/>
        </w:trPr>
        <w:tc>
          <w:tcPr>
            <w:tcW w:w="1840" w:type="dxa"/>
            <w:vMerge w:val="restart"/>
            <w:tcBorders>
              <w:left w:val="single" w:color="auto" w:sz="8" w:space="0"/>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湖南师范大学章程</w:t>
            </w:r>
          </w:p>
        </w:tc>
        <w:tc>
          <w:tcPr>
            <w:tcW w:w="22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无</w:t>
            </w:r>
          </w:p>
        </w:tc>
        <w:tc>
          <w:tcPr>
            <w:tcW w:w="14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5"/>
                <w:sz w:val="21"/>
                <w:szCs w:val="21"/>
                <w:shd w:val="clear" w:color="auto" w:fill="auto"/>
              </w:rPr>
              <w:t>无</w:t>
            </w:r>
          </w:p>
        </w:tc>
        <w:tc>
          <w:tcPr>
            <w:tcW w:w="206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表彰奖励 ，批评教育</w:t>
            </w:r>
          </w:p>
        </w:tc>
        <w:tc>
          <w:tcPr>
            <w:tcW w:w="1600" w:type="dxa"/>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43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vMerge w:val="continue"/>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vMerge w:val="continue"/>
            <w:tcBorders>
              <w:right w:val="single" w:color="auto" w:sz="8" w:space="0"/>
            </w:tcBorders>
            <w:vAlign w:val="bottom"/>
          </w:tcPr>
          <w:p>
            <w:pPr>
              <w:spacing w:after="0"/>
              <w:rPr>
                <w:color w:val="auto"/>
                <w:sz w:val="13"/>
                <w:szCs w:val="13"/>
                <w:shd w:val="clear" w:color="auto" w:fill="auto"/>
              </w:rPr>
            </w:pPr>
          </w:p>
        </w:tc>
        <w:tc>
          <w:tcPr>
            <w:tcW w:w="1400" w:type="dxa"/>
            <w:vMerge w:val="continue"/>
            <w:tcBorders>
              <w:right w:val="single" w:color="auto" w:sz="8" w:space="0"/>
            </w:tcBorders>
            <w:vAlign w:val="bottom"/>
          </w:tcPr>
          <w:p>
            <w:pPr>
              <w:spacing w:after="0"/>
              <w:rPr>
                <w:color w:val="auto"/>
                <w:sz w:val="13"/>
                <w:szCs w:val="13"/>
                <w:shd w:val="clear" w:color="auto" w:fill="auto"/>
              </w:rPr>
            </w:pPr>
          </w:p>
        </w:tc>
        <w:tc>
          <w:tcPr>
            <w:tcW w:w="206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sz w:val="21"/>
                <w:szCs w:val="21"/>
                <w:shd w:val="clear" w:color="auto" w:fill="auto"/>
              </w:rPr>
              <w:t>或处理处分</w:t>
            </w:r>
          </w:p>
        </w:tc>
        <w:tc>
          <w:tcPr>
            <w:tcW w:w="1600" w:type="dxa"/>
            <w:vMerge w:val="restart"/>
            <w:tcBorders>
              <w:right w:val="single" w:color="auto" w:sz="8" w:space="0"/>
            </w:tcBorders>
            <w:vAlign w:val="bottom"/>
          </w:tcPr>
          <w:p>
            <w:pPr>
              <w:spacing w:after="0" w:line="240" w:lineRule="exact"/>
              <w:jc w:val="center"/>
              <w:rPr>
                <w:color w:val="auto"/>
                <w:sz w:val="20"/>
                <w:szCs w:val="20"/>
                <w:shd w:val="clear" w:color="auto" w:fill="auto"/>
              </w:rPr>
            </w:pPr>
            <w:r>
              <w:rPr>
                <w:rFonts w:ascii="宋体" w:hAnsi="宋体" w:eastAsia="宋体" w:cs="宋体"/>
                <w:color w:val="auto"/>
                <w:w w:val="99"/>
                <w:sz w:val="21"/>
                <w:szCs w:val="21"/>
                <w:shd w:val="clear" w:color="auto" w:fill="auto"/>
              </w:rPr>
              <w:t>第 51 条</w:t>
            </w: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56" w:hRule="atLeast"/>
        </w:trPr>
        <w:tc>
          <w:tcPr>
            <w:tcW w:w="1840" w:type="dxa"/>
            <w:tcBorders>
              <w:left w:val="single" w:color="auto" w:sz="8" w:space="0"/>
              <w:right w:val="single" w:color="auto" w:sz="8" w:space="0"/>
            </w:tcBorders>
            <w:vAlign w:val="bottom"/>
          </w:tcPr>
          <w:p>
            <w:pPr>
              <w:spacing w:after="0"/>
              <w:rPr>
                <w:color w:val="auto"/>
                <w:sz w:val="13"/>
                <w:szCs w:val="13"/>
                <w:shd w:val="clear" w:color="auto" w:fill="auto"/>
              </w:rPr>
            </w:pPr>
          </w:p>
        </w:tc>
        <w:tc>
          <w:tcPr>
            <w:tcW w:w="2260" w:type="dxa"/>
            <w:tcBorders>
              <w:right w:val="single" w:color="auto" w:sz="8" w:space="0"/>
            </w:tcBorders>
            <w:vAlign w:val="bottom"/>
          </w:tcPr>
          <w:p>
            <w:pPr>
              <w:spacing w:after="0"/>
              <w:rPr>
                <w:color w:val="auto"/>
                <w:sz w:val="13"/>
                <w:szCs w:val="13"/>
                <w:shd w:val="clear" w:color="auto" w:fill="auto"/>
              </w:rPr>
            </w:pPr>
          </w:p>
        </w:tc>
        <w:tc>
          <w:tcPr>
            <w:tcW w:w="1400" w:type="dxa"/>
            <w:tcBorders>
              <w:right w:val="single" w:color="auto" w:sz="8" w:space="0"/>
            </w:tcBorders>
            <w:vAlign w:val="bottom"/>
          </w:tcPr>
          <w:p>
            <w:pPr>
              <w:spacing w:after="0"/>
              <w:rPr>
                <w:color w:val="auto"/>
                <w:sz w:val="13"/>
                <w:szCs w:val="13"/>
                <w:shd w:val="clear" w:color="auto" w:fill="auto"/>
              </w:rPr>
            </w:pPr>
          </w:p>
        </w:tc>
        <w:tc>
          <w:tcPr>
            <w:tcW w:w="2060" w:type="dxa"/>
            <w:vMerge w:val="continue"/>
            <w:tcBorders>
              <w:right w:val="single" w:color="auto" w:sz="8" w:space="0"/>
            </w:tcBorders>
            <w:vAlign w:val="bottom"/>
          </w:tcPr>
          <w:p>
            <w:pPr>
              <w:spacing w:after="0"/>
              <w:rPr>
                <w:color w:val="auto"/>
                <w:sz w:val="13"/>
                <w:szCs w:val="13"/>
                <w:shd w:val="clear" w:color="auto" w:fill="auto"/>
              </w:rPr>
            </w:pPr>
          </w:p>
        </w:tc>
        <w:tc>
          <w:tcPr>
            <w:tcW w:w="1600" w:type="dxa"/>
            <w:vMerge w:val="continue"/>
            <w:tcBorders>
              <w:right w:val="single" w:color="auto" w:sz="8" w:space="0"/>
            </w:tcBorders>
            <w:vAlign w:val="bottom"/>
          </w:tcPr>
          <w:p>
            <w:pPr>
              <w:spacing w:after="0"/>
              <w:rPr>
                <w:color w:val="auto"/>
                <w:sz w:val="13"/>
                <w:szCs w:val="13"/>
                <w:shd w:val="clear" w:color="auto" w:fill="auto"/>
              </w:rPr>
            </w:pPr>
          </w:p>
        </w:tc>
        <w:tc>
          <w:tcPr>
            <w:tcW w:w="0" w:type="dxa"/>
            <w:vAlign w:val="bottom"/>
          </w:tcPr>
          <w:p>
            <w:pPr>
              <w:spacing w:after="0"/>
              <w:rPr>
                <w:color w:val="auto"/>
                <w:sz w:val="1"/>
                <w:szCs w:val="1"/>
                <w:shd w:val="clear" w:color="auto" w:fill="auto"/>
              </w:rPr>
            </w:pPr>
          </w:p>
        </w:tc>
      </w:tr>
      <w:tr>
        <w:tblPrEx>
          <w:tblLayout w:type="fixed"/>
          <w:tblCellMar>
            <w:top w:w="0" w:type="dxa"/>
            <w:left w:w="0" w:type="dxa"/>
            <w:bottom w:w="0" w:type="dxa"/>
            <w:right w:w="0" w:type="dxa"/>
          </w:tblCellMar>
        </w:tblPrEx>
        <w:trPr>
          <w:trHeight w:val="131" w:hRule="atLeast"/>
        </w:trPr>
        <w:tc>
          <w:tcPr>
            <w:tcW w:w="1840" w:type="dxa"/>
            <w:tcBorders>
              <w:left w:val="single" w:color="auto" w:sz="8" w:space="0"/>
              <w:bottom w:val="single" w:color="auto" w:sz="8" w:space="0"/>
              <w:right w:val="single" w:color="auto" w:sz="8" w:space="0"/>
            </w:tcBorders>
            <w:vAlign w:val="bottom"/>
          </w:tcPr>
          <w:p>
            <w:pPr>
              <w:spacing w:after="0"/>
              <w:rPr>
                <w:color w:val="auto"/>
                <w:sz w:val="11"/>
                <w:szCs w:val="11"/>
                <w:shd w:val="clear" w:color="auto" w:fill="auto"/>
              </w:rPr>
            </w:pPr>
          </w:p>
        </w:tc>
        <w:tc>
          <w:tcPr>
            <w:tcW w:w="226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4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206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1600" w:type="dxa"/>
            <w:tcBorders>
              <w:bottom w:val="single" w:color="auto" w:sz="8" w:space="0"/>
              <w:right w:val="single" w:color="auto" w:sz="8" w:space="0"/>
            </w:tcBorders>
            <w:vAlign w:val="bottom"/>
          </w:tcPr>
          <w:p>
            <w:pPr>
              <w:spacing w:after="0"/>
              <w:rPr>
                <w:color w:val="auto"/>
                <w:sz w:val="11"/>
                <w:szCs w:val="11"/>
                <w:shd w:val="clear" w:color="auto" w:fill="auto"/>
              </w:rPr>
            </w:pPr>
          </w:p>
        </w:tc>
        <w:tc>
          <w:tcPr>
            <w:tcW w:w="0" w:type="dxa"/>
            <w:vAlign w:val="bottom"/>
          </w:tcPr>
          <w:p>
            <w:pPr>
              <w:spacing w:after="0"/>
              <w:rPr>
                <w:color w:val="auto"/>
                <w:sz w:val="1"/>
                <w:szCs w:val="1"/>
                <w:shd w:val="clear" w:color="auto" w:fill="auto"/>
              </w:rPr>
            </w:pPr>
          </w:p>
        </w:tc>
      </w:tr>
    </w:tbl>
    <w:p>
      <w:pPr>
        <w:spacing w:after="0" w:line="200" w:lineRule="exact"/>
        <w:rPr>
          <w:color w:val="auto"/>
          <w:sz w:val="20"/>
          <w:szCs w:val="20"/>
          <w:shd w:val="clear" w:color="auto" w:fill="auto"/>
        </w:rPr>
      </w:pPr>
    </w:p>
    <w:p>
      <w:pPr>
        <w:spacing w:after="0" w:line="270" w:lineRule="exact"/>
        <w:rPr>
          <w:color w:val="auto"/>
          <w:sz w:val="20"/>
          <w:szCs w:val="20"/>
          <w:shd w:val="clear" w:color="auto" w:fill="auto"/>
        </w:rPr>
      </w:pPr>
    </w:p>
    <w:p>
      <w:pPr>
        <w:spacing w:after="0" w:line="274" w:lineRule="exact"/>
        <w:ind w:left="520"/>
        <w:rPr>
          <w:color w:val="auto"/>
          <w:sz w:val="20"/>
          <w:szCs w:val="20"/>
          <w:shd w:val="clear" w:color="auto" w:fill="auto"/>
        </w:rPr>
      </w:pPr>
      <w:r>
        <w:rPr>
          <w:rFonts w:ascii="黑体" w:hAnsi="黑体" w:eastAsia="黑体" w:cs="黑体"/>
          <w:b/>
          <w:bCs/>
          <w:color w:val="auto"/>
          <w:sz w:val="24"/>
          <w:szCs w:val="24"/>
          <w:shd w:val="clear" w:color="auto" w:fill="auto"/>
        </w:rPr>
        <w:t>三、公立高校章程实施机制规定的完善路径</w:t>
      </w:r>
    </w:p>
    <w:p>
      <w:pPr>
        <w:spacing w:after="0" w:line="202" w:lineRule="exact"/>
        <w:rPr>
          <w:color w:val="auto"/>
          <w:sz w:val="20"/>
          <w:szCs w:val="20"/>
          <w:shd w:val="clear" w:color="auto" w:fill="auto"/>
        </w:rPr>
      </w:pPr>
    </w:p>
    <w:p>
      <w:pPr>
        <w:spacing w:after="0" w:line="263" w:lineRule="exact"/>
        <w:ind w:left="400"/>
        <w:rPr>
          <w:color w:val="auto"/>
          <w:sz w:val="20"/>
          <w:szCs w:val="20"/>
          <w:shd w:val="clear" w:color="auto" w:fill="auto"/>
        </w:rPr>
      </w:pPr>
      <w:r>
        <w:rPr>
          <w:rFonts w:ascii="宋体" w:hAnsi="宋体" w:eastAsia="宋体" w:cs="宋体"/>
          <w:color w:val="auto"/>
          <w:sz w:val="23"/>
          <w:szCs w:val="23"/>
          <w:shd w:val="clear" w:color="auto" w:fill="auto"/>
        </w:rPr>
        <w:t>《教育法》《高等教育法》等对高校章程制度规定不完善，理论与实务界对高校章程</w:t>
      </w:r>
    </w:p>
    <w:p>
      <w:pPr>
        <w:spacing w:after="0" w:line="193" w:lineRule="exact"/>
        <w:rPr>
          <w:color w:val="auto"/>
          <w:sz w:val="20"/>
          <w:szCs w:val="20"/>
          <w:shd w:val="clear" w:color="auto" w:fill="auto"/>
        </w:rPr>
      </w:pPr>
    </w:p>
    <w:p>
      <w:pPr>
        <w:spacing w:after="0" w:line="274" w:lineRule="exact"/>
        <w:ind w:left="40"/>
        <w:rPr>
          <w:color w:val="auto"/>
          <w:sz w:val="20"/>
          <w:szCs w:val="20"/>
          <w:shd w:val="clear" w:color="auto" w:fill="auto"/>
        </w:rPr>
      </w:pPr>
      <w:r>
        <w:rPr>
          <w:rFonts w:ascii="宋体" w:hAnsi="宋体" w:eastAsia="宋体" w:cs="宋体"/>
          <w:color w:val="auto"/>
          <w:sz w:val="24"/>
          <w:szCs w:val="24"/>
          <w:shd w:val="clear" w:color="auto" w:fill="auto"/>
        </w:rPr>
        <w:t>法律性质、制定主体及效力保障等问题尚未厘清，高校章程实施机制规定不完善等，造</w:t>
      </w:r>
    </w:p>
    <w:p>
      <w:pPr>
        <w:spacing w:after="0" w:line="193" w:lineRule="exact"/>
        <w:rPr>
          <w:color w:val="auto"/>
          <w:sz w:val="20"/>
          <w:szCs w:val="20"/>
          <w:shd w:val="clear" w:color="auto" w:fill="auto"/>
        </w:rPr>
      </w:pPr>
    </w:p>
    <w:p>
      <w:pPr>
        <w:spacing w:after="0" w:line="274" w:lineRule="exact"/>
        <w:ind w:left="40"/>
        <w:rPr>
          <w:color w:val="auto"/>
          <w:sz w:val="20"/>
          <w:szCs w:val="20"/>
          <w:shd w:val="clear" w:color="auto" w:fill="auto"/>
        </w:rPr>
      </w:pPr>
      <w:r>
        <w:rPr>
          <w:rFonts w:ascii="宋体" w:hAnsi="宋体" w:eastAsia="宋体" w:cs="宋体"/>
          <w:color w:val="auto"/>
          <w:sz w:val="24"/>
          <w:szCs w:val="24"/>
          <w:shd w:val="clear" w:color="auto" w:fill="auto"/>
        </w:rPr>
        <w:t>成我国公立高校章程实施效果不理想。完善公立高校章程文本对实施机制的规定，是提</w:t>
      </w:r>
    </w:p>
    <w:p>
      <w:pPr>
        <w:spacing w:after="0" w:line="193" w:lineRule="exact"/>
        <w:rPr>
          <w:color w:val="auto"/>
          <w:sz w:val="20"/>
          <w:szCs w:val="20"/>
          <w:shd w:val="clear" w:color="auto" w:fill="auto"/>
        </w:rPr>
      </w:pPr>
    </w:p>
    <w:p>
      <w:pPr>
        <w:spacing w:after="0" w:line="274" w:lineRule="exact"/>
        <w:ind w:left="40"/>
        <w:rPr>
          <w:color w:val="auto"/>
          <w:sz w:val="20"/>
          <w:szCs w:val="20"/>
          <w:shd w:val="clear" w:color="auto" w:fill="auto"/>
        </w:rPr>
      </w:pPr>
      <w:r>
        <w:rPr>
          <w:rFonts w:ascii="宋体" w:hAnsi="宋体" w:eastAsia="宋体" w:cs="宋体"/>
          <w:color w:val="auto"/>
          <w:sz w:val="24"/>
          <w:szCs w:val="24"/>
          <w:shd w:val="clear" w:color="auto" w:fill="auto"/>
        </w:rPr>
        <w:t>高章程实施实效与实现章程目标直接有效的措施。我国公立高校章程实施规定可从 5</w:t>
      </w:r>
    </w:p>
    <w:p>
      <w:pPr>
        <w:spacing w:after="0" w:line="200" w:lineRule="exact"/>
        <w:rPr>
          <w:color w:val="auto"/>
          <w:sz w:val="20"/>
          <w:szCs w:val="20"/>
          <w:shd w:val="clear" w:color="auto" w:fill="auto"/>
        </w:rPr>
      </w:pPr>
    </w:p>
    <w:p>
      <w:pPr>
        <w:spacing w:after="0" w:line="334" w:lineRule="exact"/>
        <w:rPr>
          <w:color w:val="auto"/>
          <w:sz w:val="20"/>
          <w:szCs w:val="20"/>
          <w:shd w:val="clear" w:color="auto" w:fill="auto"/>
        </w:rPr>
      </w:pPr>
    </w:p>
    <w:p>
      <w:pPr>
        <w:spacing w:after="0"/>
        <w:ind w:right="8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20</w:t>
      </w:r>
    </w:p>
    <w:p>
      <w:pPr>
        <w:rPr>
          <w:shd w:val="clear" w:color="auto" w:fill="auto"/>
        </w:rPr>
        <w:sectPr>
          <w:pgSz w:w="11900" w:h="16840"/>
          <w:pgMar w:top="1440" w:right="1304" w:bottom="587" w:left="1380" w:header="0" w:footer="0" w:gutter="0"/>
          <w:cols w:equalWidth="0" w:num="1">
            <w:col w:w="9220"/>
          </w:cols>
        </w:sectPr>
      </w:pPr>
    </w:p>
    <w:p>
      <w:pPr>
        <w:spacing w:after="0" w:line="274" w:lineRule="exact"/>
        <w:rPr>
          <w:color w:val="auto"/>
          <w:sz w:val="20"/>
          <w:szCs w:val="20"/>
          <w:shd w:val="clear" w:color="auto" w:fill="auto"/>
        </w:rPr>
      </w:pPr>
      <w:bookmarkStart w:id="23" w:name="page23"/>
      <w:bookmarkEnd w:id="23"/>
      <w:r>
        <w:rPr>
          <w:rFonts w:ascii="宋体" w:hAnsi="宋体" w:eastAsia="宋体" w:cs="宋体"/>
          <w:color w:val="auto"/>
          <w:sz w:val="24"/>
          <w:szCs w:val="24"/>
          <w:shd w:val="clear" w:color="auto" w:fill="auto"/>
        </w:rPr>
        <w:t>个方面完善。</w:t>
      </w:r>
    </w:p>
    <w:p>
      <w:pPr>
        <w:spacing w:after="0" w:line="20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（一）设置专章规定章程实施机制</w:t>
      </w:r>
    </w:p>
    <w:p>
      <w:pPr>
        <w:spacing w:after="0" w:line="18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目前，“各层面主体对大学章程的相关认识普遍偏低极大影响了其对自身诉求的表</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达及对大学章程作用的重视。”人们对公立高校章程作用的怀疑态度，与其实施情况不</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佳具有内在的关联。设置专章规定章程实施机制是提高公立高校章法律品格，彰显实施</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问题重要性和提高实施实效的可行选择。以专章规定实施机制也是建立体系化的章程实</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施机制，推进章程规定完善的基础。我国公立高校章程很少有建立专门章节规定章程实</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施问题的（在以上 6 校章程中，只有吉首大学设置了第十章规定章程实施机制。在我国</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公立高校章程实施的专章中，应就章程实施机关及职权职责、实施原则、章程适用程序、</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章程效力及修改完善程序进行具体规定，从而为章程实施细则制定与实施体系建设提供</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基本依据。</w:t>
      </w:r>
    </w:p>
    <w:p>
      <w:pPr>
        <w:spacing w:after="0" w:line="20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（二）设立综合性章程实施机关</w:t>
      </w:r>
    </w:p>
    <w:p>
      <w:pPr>
        <w:spacing w:after="0" w:line="217" w:lineRule="exact"/>
        <w:rPr>
          <w:color w:val="auto"/>
          <w:sz w:val="20"/>
          <w:szCs w:val="20"/>
          <w:shd w:val="clear" w:color="auto" w:fill="auto"/>
        </w:rPr>
      </w:pPr>
    </w:p>
    <w:p>
      <w:pPr>
        <w:spacing w:after="0" w:line="452" w:lineRule="exact"/>
        <w:ind w:right="100" w:firstLine="360"/>
        <w:jc w:val="both"/>
        <w:rPr>
          <w:color w:val="auto"/>
          <w:sz w:val="20"/>
          <w:szCs w:val="20"/>
          <w:shd w:val="clear" w:color="auto" w:fill="auto"/>
        </w:rPr>
      </w:pPr>
      <w:r>
        <w:rPr>
          <w:rFonts w:ascii="宋体" w:hAnsi="宋体" w:eastAsia="宋体" w:cs="宋体"/>
          <w:color w:val="auto"/>
          <w:sz w:val="23"/>
          <w:szCs w:val="23"/>
          <w:shd w:val="clear" w:color="auto" w:fill="auto"/>
        </w:rPr>
        <w:t>从以上 6 校章程来看，大部分公立高校设立了调整特定范围章程关系的机关，如教代会、学术委员会、教师申诉委员会、学生申诉委员会、监察委员会等。这些机关对于推进章程规范实施起到了重要作用。 但是，一方面，大部分公立高校章程对于这些机关的职权职责，实施措施等规定不具体；另一方面，大部分章程对这些机关的关系与协调缺乏规定。以上公立高校章程机关在实施章程规范时，明显存在零散化、非自足性等缺陷。 因此，设立综合性的章程实施机关是提高章程实施的权威性、 整体性与协调性的必要选择。当前，公立高校章程中规定综合性实施机关的不多。如在 6 校章程中，只有北京大学章程设立了综合性章程实施机关——章程委员会。综合性章程实施机关是协调章程主体行为，从整体推进章程实施的重要保障。设立综合性章程实施机关是我国高校章程实施机制规定应解决的重要问题。综合性章程实施机关人员应突出权威性、多元性原则，应由举办者、教职工代表、学生代表、学校纪检监察等部门人员组成。综合性章程实施机关的主要职权是制定章程实施细则、解释章程、监督章程实施、审查学校内部规章制度、规范性文件的合章性，协调章程主体行为，以及提出章程修改动议和草案等。为突出综合公立高校章程实施机关的权威性、独立性，章程可规定其直接向章程核准机关负责，接受其监督，并定期向学校教代会报告实施工作。</w:t>
      </w:r>
    </w:p>
    <w:p>
      <w:pPr>
        <w:spacing w:after="0" w:line="208"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（三）完善高校章程争议解决机制</w:t>
      </w:r>
    </w:p>
    <w:p>
      <w:pPr>
        <w:spacing w:after="0" w:line="194" w:lineRule="exact"/>
        <w:rPr>
          <w:color w:val="auto"/>
          <w:sz w:val="20"/>
          <w:szCs w:val="20"/>
          <w:shd w:val="clear" w:color="auto" w:fill="auto"/>
        </w:rPr>
      </w:pPr>
    </w:p>
    <w:p>
      <w:pPr>
        <w:spacing w:after="0" w:line="263" w:lineRule="exact"/>
        <w:ind w:left="360"/>
        <w:rPr>
          <w:color w:val="auto"/>
          <w:sz w:val="20"/>
          <w:szCs w:val="20"/>
          <w:shd w:val="clear" w:color="auto" w:fill="auto"/>
        </w:rPr>
      </w:pPr>
      <w:r>
        <w:rPr>
          <w:rFonts w:ascii="宋体" w:hAnsi="宋体" w:eastAsia="宋体" w:cs="宋体"/>
          <w:color w:val="auto"/>
          <w:sz w:val="23"/>
          <w:szCs w:val="23"/>
          <w:shd w:val="clear" w:color="auto" w:fill="auto"/>
        </w:rPr>
        <w:t>“高校章程在解决纠纷的过程中实现了权利的保障，从而获得确定性的权威与价值。</w:t>
      </w:r>
    </w:p>
    <w:p>
      <w:pPr>
        <w:spacing w:after="0" w:line="210"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vertAlign w:val="superscript"/>
        </w:rPr>
        <w:t>［5］</w:t>
      </w:r>
      <w:r>
        <w:rPr>
          <w:rFonts w:ascii="宋体" w:hAnsi="宋体" w:eastAsia="宋体" w:cs="宋体"/>
          <w:color w:val="auto"/>
          <w:sz w:val="23"/>
          <w:szCs w:val="23"/>
          <w:shd w:val="clear" w:color="auto" w:fill="auto"/>
        </w:rPr>
        <w:t>完善争议解决机制是畅通权利救济与责任归结，提升高校章程的基础。我国公立高校</w:t>
      </w:r>
    </w:p>
    <w:p>
      <w:pPr>
        <w:spacing w:after="0" w:line="244"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21</w:t>
      </w:r>
    </w:p>
    <w:p>
      <w:pPr>
        <w:rPr>
          <w:shd w:val="clear" w:color="auto" w:fill="auto"/>
        </w:rPr>
        <w:sectPr>
          <w:pgSz w:w="11900" w:h="16840"/>
          <w:pgMar w:top="1419" w:right="1304" w:bottom="587" w:left="1420" w:header="0" w:footer="0" w:gutter="0"/>
          <w:cols w:equalWidth="0" w:num="1">
            <w:col w:w="9180"/>
          </w:cols>
        </w:sectPr>
      </w:pPr>
    </w:p>
    <w:p>
      <w:pPr>
        <w:spacing w:after="0" w:line="274" w:lineRule="exact"/>
        <w:rPr>
          <w:color w:val="auto"/>
          <w:sz w:val="20"/>
          <w:szCs w:val="20"/>
          <w:shd w:val="clear" w:color="auto" w:fill="auto"/>
        </w:rPr>
      </w:pPr>
      <w:bookmarkStart w:id="24" w:name="page24"/>
      <w:bookmarkEnd w:id="24"/>
      <w:r>
        <w:rPr>
          <w:rFonts w:ascii="宋体" w:hAnsi="宋体" w:eastAsia="宋体" w:cs="宋体"/>
          <w:color w:val="auto"/>
          <w:sz w:val="24"/>
          <w:szCs w:val="24"/>
          <w:shd w:val="clear" w:color="auto" w:fill="auto"/>
        </w:rPr>
        <w:t>章程争议解决机制可从以下方面进行完善。首先，完善师生权利申诉机制。建议在章程</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实施委员会下设立申诉委员会，受理教师、学生权利侵害纠纷。为保障申诉委员会组成</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的公正性和多元性，“可尝试引入法官、律师等具有相关法律经验者，并对大学行政人</w:t>
      </w:r>
    </w:p>
    <w:p>
      <w:pPr>
        <w:spacing w:after="0" w:line="210"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员加以限制。”</w:t>
      </w:r>
      <w:r>
        <w:rPr>
          <w:rFonts w:ascii="宋体" w:hAnsi="宋体" w:eastAsia="宋体" w:cs="宋体"/>
          <w:color w:val="auto"/>
          <w:sz w:val="23"/>
          <w:szCs w:val="23"/>
          <w:shd w:val="clear" w:color="auto" w:fill="auto"/>
          <w:vertAlign w:val="superscript"/>
        </w:rPr>
        <w:t>［6］</w:t>
      </w:r>
      <w:r>
        <w:rPr>
          <w:rFonts w:ascii="宋体" w:hAnsi="宋体" w:eastAsia="宋体" w:cs="宋体"/>
          <w:color w:val="auto"/>
          <w:sz w:val="23"/>
          <w:szCs w:val="23"/>
          <w:shd w:val="clear" w:color="auto" w:fill="auto"/>
        </w:rPr>
        <w:t>其次，建立政府与公立高校章程纠纷解决机制，明确规定公立高校与政</w:t>
      </w:r>
    </w:p>
    <w:p>
      <w:pPr>
        <w:spacing w:after="0" w:line="188"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府的办学自主权争议可通过行政协商、行政复议及行政诉讼等途径解决。再次，构建公</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立高校管理权力争议解机制，学校党委会、校长及其行政部门、学术委员会就高校章程</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实施的争议，可通过协商、申诉、裁决及行政等机制解决，以保障权力合规行使，有效</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追究违反章程行为的责任。当然，对于学术与专业等争议，应坚持专业解决和司法、行</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政不干预原则，通过学术与专业机构内部协商、裁决的方式予以解决。</w:t>
      </w:r>
    </w:p>
    <w:p>
      <w:pPr>
        <w:spacing w:after="0" w:line="20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（四）健全高校章程实施程序机制</w:t>
      </w:r>
    </w:p>
    <w:p>
      <w:pPr>
        <w:spacing w:after="0" w:line="18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章程实施程序是制衡权力，提升实施规范性、保障实施正义的保障机制。为此，首</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先，公立高校章程应规定章程适用程序机制。就章程适用条件、启动与受理、适用步骤</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等进行规定。明确规定高校利益相关者因举办者、内部管理者违反章程规定义务，违章</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履行或不履行规定职责，或因师生章程所规定权利受到侵犯，可向章程实施机关请求启</w:t>
      </w:r>
    </w:p>
    <w:p>
      <w:pPr>
        <w:spacing w:after="0" w:line="206"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动章程适用程序。 章程实施机关经审查受理后，依据章程关系性质，再分别交由教师、</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学生申诉委员会、学术委员会、监察委员会等按规定程序处理，而对于章程没有规定的</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争议解决机制，则由章程实施机关启动适用程序。其次，构建以章程实施机关为核心，</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教代会民主监督与行政监察为两翼， 高校利益相关者广泛参与的实施监督机制，健全</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章程监督程序机制。规定各监督主体的分工与协作机制，明确各监督主体的监督客体和</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监督内容。尤其是健全教代会民主监督程序机制。 “在高校内部机构中，教职工代表</w:t>
      </w:r>
    </w:p>
    <w:p>
      <w:pPr>
        <w:spacing w:after="0" w:line="210"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大会最适合作为高校的监督机构。”</w:t>
      </w:r>
      <w:r>
        <w:rPr>
          <w:rFonts w:ascii="宋体" w:hAnsi="宋体" w:eastAsia="宋体" w:cs="宋体"/>
          <w:color w:val="auto"/>
          <w:sz w:val="23"/>
          <w:szCs w:val="23"/>
          <w:shd w:val="clear" w:color="auto" w:fill="auto"/>
          <w:vertAlign w:val="superscript"/>
        </w:rPr>
        <w:t>［7］</w:t>
      </w:r>
      <w:r>
        <w:rPr>
          <w:rFonts w:ascii="宋体" w:hAnsi="宋体" w:eastAsia="宋体" w:cs="宋体"/>
          <w:color w:val="auto"/>
          <w:sz w:val="23"/>
          <w:szCs w:val="23"/>
          <w:shd w:val="clear" w:color="auto" w:fill="auto"/>
        </w:rPr>
        <w:t>公立高校章程应进一步健全教代会民主监督学校党</w:t>
      </w:r>
    </w:p>
    <w:p>
      <w:pPr>
        <w:spacing w:after="0" w:line="188"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委会、校长及其行政部门、学术委员会、教授委员会等章程遵守机制，规定对其违章行</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为启动章程适用和责任追究程序。明确规定在教代会下设立日常性的执行委员会，具体</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负责高校章程实施的民主监督工作，赋予其对章程违反行为的调查、咨询、证据收集、</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内部处罚及提请学校主管部门进行处理等权力。 最后，完善章程修改程序。 “一般国</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外大学章程中都规定了章程修改和废止的条件和程序，其中还包括对学校各个决策机</w:t>
      </w:r>
    </w:p>
    <w:p>
      <w:pPr>
        <w:spacing w:after="0" w:line="210"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构、行政机构和学术机构等的变动规定。”</w:t>
      </w:r>
      <w:r>
        <w:rPr>
          <w:rFonts w:ascii="宋体" w:hAnsi="宋体" w:eastAsia="宋体" w:cs="宋体"/>
          <w:color w:val="auto"/>
          <w:sz w:val="23"/>
          <w:szCs w:val="23"/>
          <w:shd w:val="clear" w:color="auto" w:fill="auto"/>
          <w:vertAlign w:val="superscript"/>
        </w:rPr>
        <w:t>［8］</w:t>
      </w:r>
      <w:r>
        <w:rPr>
          <w:rFonts w:ascii="宋体" w:hAnsi="宋体" w:eastAsia="宋体" w:cs="宋体"/>
          <w:color w:val="auto"/>
          <w:sz w:val="23"/>
          <w:szCs w:val="23"/>
          <w:shd w:val="clear" w:color="auto" w:fill="auto"/>
        </w:rPr>
        <w:t>明确章程实施机关的修改主导地位，进一步</w:t>
      </w:r>
    </w:p>
    <w:p>
      <w:pPr>
        <w:spacing w:after="0" w:line="188"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细化章程修改动议提出的要求，修改案通过的条件等规定。</w:t>
      </w:r>
    </w:p>
    <w:p>
      <w:pPr>
        <w:spacing w:after="0" w:line="20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（五）优化高校章程实施后果机制</w:t>
      </w:r>
    </w:p>
    <w:p>
      <w:pPr>
        <w:spacing w:after="0" w:line="18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宋体" w:hAnsi="宋体" w:eastAsia="宋体" w:cs="宋体"/>
          <w:color w:val="auto"/>
          <w:sz w:val="24"/>
          <w:szCs w:val="24"/>
          <w:shd w:val="clear" w:color="auto" w:fill="auto"/>
        </w:rPr>
        <w:t>实施后果机制是高校章程实施的激励约束保障，也是彰显高校章程的法律效力核心</w:t>
      </w:r>
    </w:p>
    <w:p>
      <w:pPr>
        <w:spacing w:after="0" w:line="249"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22</w:t>
      </w:r>
    </w:p>
    <w:p>
      <w:pPr>
        <w:rPr>
          <w:shd w:val="clear" w:color="auto" w:fill="auto"/>
        </w:rPr>
        <w:sectPr>
          <w:pgSz w:w="11900" w:h="16840"/>
          <w:pgMar w:top="1419" w:right="1304" w:bottom="587" w:left="1420" w:header="0" w:footer="0" w:gutter="0"/>
          <w:cols w:equalWidth="0" w:num="1">
            <w:col w:w="9180"/>
          </w:cols>
        </w:sectPr>
      </w:pPr>
    </w:p>
    <w:p>
      <w:pPr>
        <w:spacing w:after="0" w:line="274" w:lineRule="exact"/>
        <w:rPr>
          <w:color w:val="auto"/>
          <w:sz w:val="20"/>
          <w:szCs w:val="20"/>
          <w:shd w:val="clear" w:color="auto" w:fill="auto"/>
        </w:rPr>
      </w:pPr>
      <w:bookmarkStart w:id="25" w:name="page25"/>
      <w:bookmarkEnd w:id="25"/>
      <w:r>
        <w:rPr>
          <w:rFonts w:ascii="宋体" w:hAnsi="宋体" w:eastAsia="宋体" w:cs="宋体"/>
          <w:color w:val="auto"/>
          <w:sz w:val="24"/>
          <w:szCs w:val="24"/>
          <w:shd w:val="clear" w:color="auto" w:fill="auto"/>
        </w:rPr>
        <w:t>所在。 首先，优化公立高校章程实施奖励机制，明确规定对于遵守章程、大力宣传章</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程、为学校发展做出重要贡献者给予精神与物质奖励。 其次，更为重要的是规定违反</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公立高校章程的责任。 一是要明确举办者和办学者责任，规定举办者不当干预办学、</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侵犯办学自主权及不履行章程规定保障办学义务而应承担的行政责任，以及办学者违反</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章程行使办学自主权的无效与撤销责任。二是明确党委会、校长及行政机构、学术委员</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会等决策失误、滥用职权、程序不当等行为应该承担的改变决策与决定行为、给予行政</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处分、资格限制、赔偿损失及解除聘任关系、提请主管部门免职等责任。最后，构建章</w:t>
      </w:r>
    </w:p>
    <w:p>
      <w:pPr>
        <w:spacing w:after="0" w:line="210" w:lineRule="exact"/>
        <w:rPr>
          <w:color w:val="auto"/>
          <w:sz w:val="20"/>
          <w:szCs w:val="20"/>
          <w:shd w:val="clear" w:color="auto" w:fill="auto"/>
        </w:rPr>
      </w:pPr>
    </w:p>
    <w:p>
      <w:pPr>
        <w:spacing w:after="0" w:line="251" w:lineRule="exact"/>
        <w:rPr>
          <w:color w:val="auto"/>
          <w:sz w:val="20"/>
          <w:szCs w:val="20"/>
          <w:shd w:val="clear" w:color="auto" w:fill="auto"/>
        </w:rPr>
      </w:pPr>
      <w:r>
        <w:rPr>
          <w:rFonts w:ascii="宋体" w:hAnsi="宋体" w:eastAsia="宋体" w:cs="宋体"/>
          <w:color w:val="auto"/>
          <w:sz w:val="22"/>
          <w:szCs w:val="22"/>
          <w:shd w:val="clear" w:color="auto" w:fill="auto"/>
        </w:rPr>
        <w:t>程问责机制。“问责制能够通过有效的运行机制来促进大学章程的制定实施。”</w:t>
      </w:r>
      <w:r>
        <w:rPr>
          <w:rFonts w:ascii="宋体" w:hAnsi="宋体" w:eastAsia="宋体" w:cs="宋体"/>
          <w:color w:val="auto"/>
          <w:sz w:val="22"/>
          <w:szCs w:val="22"/>
          <w:shd w:val="clear" w:color="auto" w:fill="auto"/>
          <w:vertAlign w:val="superscript"/>
        </w:rPr>
        <w:t>［9］</w:t>
      </w:r>
      <w:r>
        <w:rPr>
          <w:rFonts w:ascii="宋体" w:hAnsi="宋体" w:eastAsia="宋体" w:cs="宋体"/>
          <w:color w:val="auto"/>
          <w:sz w:val="22"/>
          <w:szCs w:val="22"/>
          <w:shd w:val="clear" w:color="auto" w:fill="auto"/>
        </w:rPr>
        <w:t>公立高</w:t>
      </w:r>
    </w:p>
    <w:p>
      <w:pPr>
        <w:spacing w:after="0" w:line="199"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校章程实施的问责机制可从权责体系、问责主体、问责对象、问责后果等进行构建。</w:t>
      </w:r>
    </w:p>
    <w:p>
      <w:pPr>
        <w:spacing w:after="0" w:line="195"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黑体" w:hAnsi="黑体" w:eastAsia="黑体" w:cs="黑体"/>
          <w:b/>
          <w:bCs/>
          <w:color w:val="auto"/>
          <w:sz w:val="24"/>
          <w:szCs w:val="24"/>
          <w:shd w:val="clear" w:color="auto" w:fill="auto"/>
        </w:rPr>
        <w:t>四、结语</w:t>
      </w:r>
    </w:p>
    <w:p>
      <w:pPr>
        <w:spacing w:after="0" w:line="191"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宋体" w:hAnsi="宋体" w:eastAsia="宋体" w:cs="宋体"/>
          <w:color w:val="auto"/>
          <w:sz w:val="24"/>
          <w:szCs w:val="24"/>
          <w:shd w:val="clear" w:color="auto" w:fill="auto"/>
        </w:rPr>
        <w:t>教育部《高校章程制定暂行办法》将高校章程定位为“高校依法办学、实施管理和</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履行公共职能的基本准则”。 公立高校章程制定基本目标的实现以完善的高校章程实施</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机制为基础。我国公立高校章程实施机制的完善需多方联动，共同推进。当前，我国大</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部分高校章程文本缺乏对章程实施机关、程序、争议解决及责任的规定。完善公立高校</w:t>
      </w:r>
    </w:p>
    <w:p>
      <w:pPr>
        <w:spacing w:after="0" w:line="194"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实施机制的文本规定是</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提高章程实施性与效力的直接有效对策。创新公立高校章程制定实施机制和优化章程效</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力的首要问题是采取有效措施完善文本实施机制的规定。</w:t>
      </w:r>
    </w:p>
    <w:p>
      <w:pPr>
        <w:spacing w:after="0" w:line="245" w:lineRule="exact"/>
        <w:rPr>
          <w:color w:val="auto"/>
          <w:sz w:val="20"/>
          <w:szCs w:val="20"/>
          <w:shd w:val="clear" w:color="auto" w:fill="auto"/>
        </w:rPr>
      </w:pPr>
    </w:p>
    <w:p>
      <w:pPr>
        <w:spacing w:after="0" w:line="300" w:lineRule="exact"/>
        <w:ind w:left="3720"/>
        <w:rPr>
          <w:color w:val="auto"/>
          <w:sz w:val="20"/>
          <w:szCs w:val="20"/>
          <w:shd w:val="clear" w:color="auto" w:fill="auto"/>
        </w:rPr>
      </w:pPr>
      <w:r>
        <w:rPr>
          <w:rFonts w:ascii="新宋体" w:hAnsi="新宋体" w:eastAsia="新宋体" w:cs="新宋体"/>
          <w:color w:val="auto"/>
          <w:sz w:val="23"/>
          <w:szCs w:val="23"/>
          <w:shd w:val="clear" w:color="auto" w:fill="auto"/>
        </w:rPr>
        <w:t>（本文摘自《中国高教研究》</w:t>
      </w:r>
      <w:r>
        <w:rPr>
          <w:rFonts w:ascii="Courier New" w:hAnsi="Courier New" w:eastAsia="Courier New" w:cs="Courier New"/>
          <w:color w:val="auto"/>
          <w:sz w:val="23"/>
          <w:szCs w:val="23"/>
          <w:shd w:val="clear" w:color="auto" w:fill="auto"/>
        </w:rPr>
        <w:t xml:space="preserve">2015 </w:t>
      </w:r>
      <w:r>
        <w:rPr>
          <w:rFonts w:ascii="新宋体" w:hAnsi="新宋体" w:eastAsia="新宋体" w:cs="新宋体"/>
          <w:color w:val="auto"/>
          <w:sz w:val="23"/>
          <w:szCs w:val="23"/>
          <w:shd w:val="clear" w:color="auto" w:fill="auto"/>
        </w:rPr>
        <w:t>年第</w:t>
      </w:r>
      <w:r>
        <w:rPr>
          <w:rFonts w:ascii="Courier New" w:hAnsi="Courier New" w:eastAsia="Courier New" w:cs="Courier New"/>
          <w:color w:val="auto"/>
          <w:sz w:val="23"/>
          <w:szCs w:val="23"/>
          <w:shd w:val="clear" w:color="auto" w:fill="auto"/>
        </w:rPr>
        <w:t xml:space="preserve"> 11 </w:t>
      </w:r>
      <w:r>
        <w:rPr>
          <w:rFonts w:ascii="新宋体" w:hAnsi="新宋体" w:eastAsia="新宋体" w:cs="新宋体"/>
          <w:color w:val="auto"/>
          <w:sz w:val="23"/>
          <w:szCs w:val="23"/>
          <w:shd w:val="clear" w:color="auto" w:fill="auto"/>
        </w:rPr>
        <w:t>期）</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74"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23</w:t>
      </w:r>
    </w:p>
    <w:p>
      <w:pPr>
        <w:rPr>
          <w:shd w:val="clear" w:color="auto" w:fill="auto"/>
        </w:rPr>
        <w:sectPr>
          <w:pgSz w:w="11900" w:h="16840"/>
          <w:pgMar w:top="1419" w:right="1404" w:bottom="587" w:left="1420" w:header="0" w:footer="0" w:gutter="0"/>
          <w:cols w:equalWidth="0" w:num="1">
            <w:col w:w="9080"/>
          </w:cols>
        </w:sectPr>
      </w:pPr>
    </w:p>
    <w:p>
      <w:pPr>
        <w:spacing w:after="0" w:line="200" w:lineRule="exact"/>
        <w:rPr>
          <w:color w:val="auto"/>
          <w:sz w:val="20"/>
          <w:szCs w:val="20"/>
          <w:shd w:val="clear" w:color="auto" w:fill="auto"/>
        </w:rPr>
      </w:pPr>
      <w:bookmarkStart w:id="26" w:name="page26"/>
      <w:bookmarkEnd w:id="26"/>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1615440</wp:posOffset>
                </wp:positionH>
                <wp:positionV relativeFrom="page">
                  <wp:posOffset>1450975</wp:posOffset>
                </wp:positionV>
                <wp:extent cx="4469765" cy="415925"/>
                <wp:effectExtent l="0" t="0" r="6985" b="3175"/>
                <wp:wrapNone/>
                <wp:docPr id="6" name="Shape 6"/>
                <wp:cNvGraphicFramePr/>
                <a:graphic xmlns:a="http://schemas.openxmlformats.org/drawingml/2006/main">
                  <a:graphicData uri="http://schemas.microsoft.com/office/word/2010/wordprocessingShape">
                    <wps:wsp>
                      <wps:cNvSpPr/>
                      <wps:spPr>
                        <a:xfrm>
                          <a:off x="0" y="0"/>
                          <a:ext cx="4469765" cy="415925"/>
                        </a:xfrm>
                        <a:prstGeom prst="rect">
                          <a:avLst/>
                        </a:prstGeom>
                        <a:solidFill>
                          <a:srgbClr val="E5E5E5"/>
                        </a:solidFill>
                      </wps:spPr>
                      <wps:bodyPr/>
                    </wps:wsp>
                  </a:graphicData>
                </a:graphic>
              </wp:anchor>
            </w:drawing>
          </mc:Choice>
          <mc:Fallback>
            <w:pict>
              <v:rect id="Shape 6" o:spid="_x0000_s1026" o:spt="1" style="position:absolute;left:0pt;margin-left:127.2pt;margin-top:114.25pt;height:32.75pt;width:351.95pt;mso-position-horizontal-relative:page;mso-position-vertical-relative:page;z-index:-251658240;mso-width-relative:page;mso-height-relative:page;" fillcolor="#E5E5E5" filled="t" stroked="f" coordsize="21600,21600" o:allowincell="f" o:gfxdata="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Ar&#10;OUwF2gAAAAsBAAAPAAAAAAAAAAEAIAAAACIAAABkcnMvZG93bnJldi54bWxQSwECFAAUAAAACACH&#10;TuJAQalGCHcBAADsAgAADgAAAAAAAAABACAAAAApAQAAZHJzL2Uyb0RvYy54bWxQSwUGAAAAAAYA&#10;BgBZAQAAEgU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08" w:lineRule="exact"/>
        <w:rPr>
          <w:color w:val="auto"/>
          <w:sz w:val="20"/>
          <w:szCs w:val="20"/>
          <w:shd w:val="clear" w:color="auto" w:fill="auto"/>
        </w:rPr>
      </w:pPr>
    </w:p>
    <w:p>
      <w:pPr>
        <w:spacing w:after="0" w:line="441" w:lineRule="exact"/>
        <w:ind w:left="1340"/>
        <w:rPr>
          <w:color w:val="auto"/>
          <w:sz w:val="20"/>
          <w:szCs w:val="20"/>
          <w:shd w:val="clear" w:color="auto" w:fill="auto"/>
        </w:rPr>
      </w:pPr>
      <w:r>
        <w:rPr>
          <w:rFonts w:ascii="MS PGothic" w:hAnsi="MS PGothic" w:eastAsia="MS PGothic" w:cs="MS PGothic"/>
          <w:color w:val="auto"/>
          <w:sz w:val="44"/>
          <w:szCs w:val="44"/>
          <w:shd w:val="clear" w:color="auto" w:fill="auto"/>
        </w:rPr>
        <w:t>大学章程制定中的困惑与突破路径</w:t>
      </w:r>
    </w:p>
    <w:p>
      <w:pPr>
        <w:spacing w:after="0" w:line="347" w:lineRule="exact"/>
        <w:rPr>
          <w:color w:val="auto"/>
          <w:sz w:val="20"/>
          <w:szCs w:val="20"/>
          <w:shd w:val="clear" w:color="auto" w:fill="auto"/>
        </w:rPr>
      </w:pPr>
    </w:p>
    <w:p>
      <w:pPr>
        <w:spacing w:after="0" w:line="417" w:lineRule="exact"/>
        <w:ind w:right="20"/>
        <w:jc w:val="center"/>
        <w:rPr>
          <w:color w:val="auto"/>
          <w:sz w:val="20"/>
          <w:szCs w:val="20"/>
          <w:shd w:val="clear" w:color="auto" w:fill="auto"/>
        </w:rPr>
      </w:pPr>
      <w:r>
        <w:rPr>
          <w:rFonts w:ascii="Courier New" w:hAnsi="Courier New" w:eastAsia="Courier New" w:cs="Courier New"/>
          <w:b/>
          <w:bCs/>
          <w:color w:val="auto"/>
          <w:sz w:val="32"/>
          <w:szCs w:val="32"/>
          <w:shd w:val="clear" w:color="auto" w:fill="auto"/>
        </w:rPr>
        <w:t>——</w:t>
      </w:r>
      <w:r>
        <w:rPr>
          <w:rFonts w:ascii="新宋体" w:hAnsi="新宋体" w:eastAsia="新宋体" w:cs="新宋体"/>
          <w:b/>
          <w:bCs/>
          <w:color w:val="auto"/>
          <w:sz w:val="32"/>
          <w:szCs w:val="32"/>
          <w:shd w:val="clear" w:color="auto" w:fill="auto"/>
        </w:rPr>
        <w:t>基于六所高校章程文本的分析</w:t>
      </w:r>
    </w:p>
    <w:p>
      <w:pPr>
        <w:spacing w:after="0" w:line="193" w:lineRule="exact"/>
        <w:rPr>
          <w:color w:val="auto"/>
          <w:sz w:val="20"/>
          <w:szCs w:val="20"/>
          <w:shd w:val="clear" w:color="auto" w:fill="auto"/>
        </w:rPr>
      </w:pPr>
    </w:p>
    <w:p>
      <w:pPr>
        <w:tabs>
          <w:tab w:val="left" w:pos="260"/>
        </w:tabs>
        <w:spacing w:after="0" w:line="320" w:lineRule="exact"/>
        <w:ind w:left="4120"/>
        <w:jc w:val="center"/>
        <w:rPr>
          <w:color w:val="auto"/>
          <w:sz w:val="20"/>
          <w:szCs w:val="20"/>
          <w:shd w:val="clear" w:color="auto" w:fill="auto"/>
        </w:rPr>
      </w:pPr>
      <w:r>
        <w:rPr>
          <w:rFonts w:ascii="新宋体" w:hAnsi="新宋体" w:eastAsia="新宋体" w:cs="新宋体"/>
          <w:b/>
          <w:bCs/>
          <w:color w:val="auto"/>
          <w:sz w:val="28"/>
          <w:szCs w:val="28"/>
          <w:shd w:val="clear" w:color="auto" w:fill="auto"/>
        </w:rPr>
        <w:t>方</w:t>
      </w:r>
      <w:r>
        <w:rPr>
          <w:rFonts w:ascii="新宋体" w:hAnsi="新宋体" w:eastAsia="新宋体" w:cs="新宋体"/>
          <w:b/>
          <w:bCs/>
          <w:color w:val="auto"/>
          <w:sz w:val="28"/>
          <w:szCs w:val="28"/>
          <w:shd w:val="clear" w:color="auto" w:fill="auto"/>
        </w:rPr>
        <w:tab/>
      </w:r>
      <w:r>
        <w:rPr>
          <w:rFonts w:ascii="新宋体" w:hAnsi="新宋体" w:eastAsia="新宋体" w:cs="新宋体"/>
          <w:b/>
          <w:bCs/>
          <w:color w:val="auto"/>
          <w:sz w:val="28"/>
          <w:szCs w:val="28"/>
          <w:shd w:val="clear" w:color="auto" w:fill="auto"/>
        </w:rPr>
        <w:t>芳</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16" w:lineRule="exact"/>
        <w:rPr>
          <w:color w:val="auto"/>
          <w:sz w:val="20"/>
          <w:szCs w:val="20"/>
          <w:shd w:val="clear" w:color="auto" w:fill="auto"/>
        </w:rPr>
      </w:pPr>
    </w:p>
    <w:p>
      <w:pPr>
        <w:spacing w:after="0" w:line="440" w:lineRule="exact"/>
        <w:ind w:left="420" w:right="420"/>
        <w:rPr>
          <w:color w:val="auto"/>
          <w:sz w:val="20"/>
          <w:szCs w:val="20"/>
          <w:shd w:val="clear" w:color="auto" w:fill="auto"/>
        </w:rPr>
      </w:pPr>
      <w:r>
        <w:rPr>
          <w:rFonts w:ascii="黑体" w:hAnsi="黑体" w:eastAsia="黑体" w:cs="黑体"/>
          <w:b/>
          <w:bCs/>
          <w:color w:val="auto"/>
          <w:sz w:val="24"/>
          <w:szCs w:val="24"/>
          <w:shd w:val="clear" w:color="auto" w:fill="auto"/>
        </w:rPr>
        <w:t>摘 要：</w:t>
      </w:r>
      <w:r>
        <w:rPr>
          <w:rFonts w:ascii="新宋体" w:hAnsi="新宋体" w:eastAsia="新宋体" w:cs="新宋体"/>
          <w:color w:val="auto"/>
          <w:sz w:val="24"/>
          <w:szCs w:val="24"/>
          <w:shd w:val="clear" w:color="auto" w:fill="auto"/>
        </w:rPr>
        <w:t>通过阅读和分析教育部核准的六所高校的章程文本和对地方高校的调研访谈，发现目前各高校在大学章程制定中还遇到这样的困惑：大学章程如何体现学校外部治理中的高校独立法人地位，落实办学自主权；如何平衡学校内部治理中的多元权力关系。基于此困惑的建议是：制定大学章程应尊重高校独立法人地位，通过立法明确政府与学校的权力边界；应明确党委与校长的权力范围与运行机制；应尊重和规范学术权，建立服务行政体系；应保障教师民主参与管理和监督的权利，制约行政权，防止行政权被滥用。</w:t>
      </w:r>
      <w:r>
        <w:rPr>
          <w:rFonts w:ascii="黑体" w:hAnsi="黑体" w:eastAsia="黑体" w:cs="黑体"/>
          <w:b/>
          <w:bCs/>
          <w:color w:val="auto"/>
          <w:sz w:val="24"/>
          <w:szCs w:val="24"/>
          <w:shd w:val="clear" w:color="auto" w:fill="auto"/>
        </w:rPr>
        <w:t>关键词：</w:t>
      </w:r>
      <w:r>
        <w:rPr>
          <w:rFonts w:ascii="新宋体" w:hAnsi="新宋体" w:eastAsia="新宋体" w:cs="新宋体"/>
          <w:color w:val="auto"/>
          <w:sz w:val="24"/>
          <w:szCs w:val="24"/>
          <w:shd w:val="clear" w:color="auto" w:fill="auto"/>
        </w:rPr>
        <w:t>大学章程，困惑，突破路径，文本分析</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20" w:lineRule="exact"/>
        <w:rPr>
          <w:color w:val="auto"/>
          <w:sz w:val="20"/>
          <w:szCs w:val="20"/>
          <w:shd w:val="clear" w:color="auto" w:fill="auto"/>
        </w:rPr>
      </w:pPr>
    </w:p>
    <w:p>
      <w:pPr>
        <w:spacing w:after="0" w:line="448" w:lineRule="exact"/>
        <w:ind w:firstLine="540"/>
        <w:jc w:val="both"/>
        <w:rPr>
          <w:color w:val="auto"/>
          <w:sz w:val="20"/>
          <w:szCs w:val="20"/>
          <w:shd w:val="clear" w:color="auto" w:fill="auto"/>
        </w:rPr>
      </w:pPr>
      <w:r>
        <w:rPr>
          <w:rFonts w:ascii="宋体" w:hAnsi="宋体" w:eastAsia="宋体" w:cs="宋体"/>
          <w:color w:val="auto"/>
          <w:sz w:val="24"/>
          <w:szCs w:val="24"/>
          <w:shd w:val="clear" w:color="auto" w:fill="auto"/>
        </w:rPr>
        <w:t>大学章程作为一种制度设计，是现代大学制度的基本要求，体现了遵循大学内在逻辑，实现依法办学、自主管理、民主监督、社会参与的治理模式。2011 年 7 月，教育部颁布了《高等学校章程制定暂行办法》（以下简称《暂行办法》），对高校章程制定的原则、内容、程序以及核准和监督中涉及的主要问题和环节进行了全面规范。2013 年 11 月 28 日，教育部高等学校章程核准委员会对第一批提请教育部核准的中国人民大学、东南大学、东华大学、上海外国语大学、武汉理工大学、华中师范大学 6 所高校的章程颁发了核准书。同时，国内各大高校在教育部及地方教育行政部门的组织下陆续开展了大学章程的制定工作。在大学章程制定的实践过程中，如何落实《暂行办法》中的相关规定，如何将诸多理论研究真正落实到章程文本之中成为许多高校面临的困惑。笔者阅读和分析了上述 6 所高校的章程文本，并深入多所地方高校进行了调研访谈，就高校在大学章程制定中遇到的主要问题展开研究，在此基础上提出突破的路径和建议，希望能够为大学章程制定提供参考。</w:t>
      </w:r>
    </w:p>
    <w:p>
      <w:pPr>
        <w:spacing w:after="0" w:line="206"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一、大学章程文本制定中的困惑</w:t>
      </w:r>
    </w:p>
    <w:p>
      <w:pPr>
        <w:spacing w:after="0" w:line="202" w:lineRule="exact"/>
        <w:rPr>
          <w:color w:val="auto"/>
          <w:sz w:val="20"/>
          <w:szCs w:val="20"/>
          <w:shd w:val="clear" w:color="auto" w:fill="auto"/>
        </w:rPr>
      </w:pPr>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大学章程是大学治理的基本依据。大学章程通过对大学利益相关者的权力配置和制</w:t>
      </w:r>
    </w:p>
    <w:p>
      <w:pPr>
        <w:spacing w:after="0" w:line="260"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24</w:t>
      </w:r>
    </w:p>
    <w:p>
      <w:pPr>
        <w:rPr>
          <w:shd w:val="clear" w:color="auto" w:fill="auto"/>
        </w:rPr>
        <w:sectPr>
          <w:pgSz w:w="11900" w:h="16840"/>
          <w:pgMar w:top="1440" w:right="1404" w:bottom="587" w:left="1420" w:header="0" w:footer="0" w:gutter="0"/>
          <w:cols w:equalWidth="0" w:num="1">
            <w:col w:w="9080"/>
          </w:cols>
        </w:sectPr>
      </w:pPr>
    </w:p>
    <w:p>
      <w:pPr>
        <w:spacing w:after="0" w:line="263" w:lineRule="exact"/>
        <w:rPr>
          <w:color w:val="auto"/>
          <w:sz w:val="20"/>
          <w:szCs w:val="20"/>
          <w:shd w:val="clear" w:color="auto" w:fill="auto"/>
        </w:rPr>
      </w:pPr>
      <w:bookmarkStart w:id="27" w:name="page27"/>
      <w:bookmarkEnd w:id="27"/>
      <w:r>
        <w:rPr>
          <w:rFonts w:ascii="宋体" w:hAnsi="宋体" w:eastAsia="宋体" w:cs="宋体"/>
          <w:color w:val="auto"/>
          <w:sz w:val="23"/>
          <w:szCs w:val="23"/>
          <w:shd w:val="clear" w:color="auto" w:fill="auto"/>
        </w:rPr>
        <w:t>度安排，使其达成共识，实现多元主体的和谐共存，推动大学的自我管理和自主发展。</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大学治理包括外部治理和内部治理。外部治理主要是高校作为独立法人与政府、社会其</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他主体之间的利益制衡，内部治理主要是大学内部校长、教授、教师、学生等利益相关</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者之间的权力配置。围绕大学章程对学校内外部治理中的核心问题，我们发现大学章程</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的制定还存在如下一些困惑。</w:t>
      </w:r>
    </w:p>
    <w:p>
      <w:pPr>
        <w:spacing w:after="0" w:line="203"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（一）如何体现高校独立法人地位，落实高校办学自主权</w:t>
      </w:r>
    </w:p>
    <w:p>
      <w:pPr>
        <w:spacing w:after="0" w:line="217" w:lineRule="exact"/>
        <w:rPr>
          <w:color w:val="auto"/>
          <w:sz w:val="20"/>
          <w:szCs w:val="20"/>
          <w:shd w:val="clear" w:color="auto" w:fill="auto"/>
        </w:rPr>
      </w:pPr>
    </w:p>
    <w:p>
      <w:pPr>
        <w:spacing w:after="0" w:line="444" w:lineRule="exact"/>
        <w:ind w:right="40" w:firstLine="480"/>
        <w:jc w:val="both"/>
        <w:rPr>
          <w:color w:val="auto"/>
          <w:sz w:val="20"/>
          <w:szCs w:val="20"/>
          <w:shd w:val="clear" w:color="auto" w:fill="auto"/>
        </w:rPr>
      </w:pPr>
      <w:r>
        <w:rPr>
          <w:rFonts w:ascii="宋体" w:hAnsi="宋体" w:eastAsia="宋体" w:cs="宋体"/>
          <w:color w:val="auto"/>
          <w:sz w:val="24"/>
          <w:szCs w:val="24"/>
          <w:shd w:val="clear" w:color="auto" w:fill="auto"/>
        </w:rPr>
        <w:t>大学自治是遵循大学内在逻辑，保障大学自主管理和自我约束的基本要求，是现代大学制度的特色体现。在我国，高校是具有事业单位法人性质的独立主体，其独立法人性质在我国立法中有明确规定。我国《高等教育法》第 30 条规定“高等学校自批准设立之日起取得法人资格。高等学校在民事活动中依法享有民事权利，承担民事责任。”同时，第 31 条至第 38 条规定了高校在管理教育教学活动、制定招生方案、开展科学研究、提供技术服务、开展技术合作与文化交流、管理和使用高校财产等方面享有办学自主权。充分落实办学自主权是高校独立法人地位的具体体现，是实现大学自治、保障学术自由、满足大学自主发展诉求的重要途径。然而，由于我国高校与政府之间长期存在的微妙关系使得在实践中高校的办学自主权大打折扣，高校的独立法人地位没有得到充分体现。</w:t>
      </w:r>
    </w:p>
    <w:p>
      <w:pPr>
        <w:spacing w:after="0" w:line="232" w:lineRule="exact"/>
        <w:rPr>
          <w:color w:val="auto"/>
          <w:sz w:val="20"/>
          <w:szCs w:val="20"/>
          <w:shd w:val="clear" w:color="auto" w:fill="auto"/>
        </w:rPr>
      </w:pPr>
    </w:p>
    <w:p>
      <w:pPr>
        <w:spacing w:after="0" w:line="448" w:lineRule="exact"/>
        <w:ind w:right="40" w:firstLine="480"/>
        <w:jc w:val="both"/>
        <w:rPr>
          <w:color w:val="auto"/>
          <w:sz w:val="20"/>
          <w:szCs w:val="20"/>
          <w:shd w:val="clear" w:color="auto" w:fill="auto"/>
        </w:rPr>
      </w:pPr>
      <w:r>
        <w:rPr>
          <w:rFonts w:ascii="宋体" w:hAnsi="宋体" w:eastAsia="宋体" w:cs="宋体"/>
          <w:color w:val="auto"/>
          <w:sz w:val="24"/>
          <w:szCs w:val="24"/>
          <w:shd w:val="clear" w:color="auto" w:fill="auto"/>
        </w:rPr>
        <w:t>我国公立高校的举办者是国家及地方政府，具体由代表国家行政权的教育行政部门进行管理，因此，举办者与学校的关系主要是政府与大学的关系。在我国，“自隐含在高等教育管理体制中的这种关系存在以来，政府管理与大学自治就始终成为一对难以平衡的矛盾。”[1]二者长期以来存在一种表面平等放权，实则不对等控权的特殊关系。在实践中，高校办学仍然是以政府计划模式为主，政府主要依靠行政手段和行政命令管理高校，忽视了高校的独立法人地位，二者之间形成了一种控制与被控制、命令与服从的关系。此次《暂行办法》不仅要求大学章程中要明确学校举办者的职责与义务，而且要明确学校办学自主权的行使与监督机制，旨在通过大学章程明确举办者与学校的权利和义务，落实举办者的职责、义务，保障学校的办学自主权。然而在实践中，起草和制定章程的主体是高校而不是政府，让高校来规定政府的权利和义务，对于高校来说无疑具有一定难度。如何在章程中落实高校办学自主权，体现高校的独立法人地位成为章程制定中面临的难点问题。</w:t>
      </w:r>
    </w:p>
    <w:p>
      <w:pPr>
        <w:spacing w:after="0" w:line="236" w:lineRule="exact"/>
        <w:rPr>
          <w:color w:val="auto"/>
          <w:sz w:val="20"/>
          <w:szCs w:val="20"/>
          <w:shd w:val="clear" w:color="auto" w:fill="auto"/>
        </w:rPr>
      </w:pPr>
    </w:p>
    <w:p>
      <w:pPr>
        <w:numPr>
          <w:ilvl w:val="0"/>
          <w:numId w:val="3"/>
        </w:numPr>
        <w:tabs>
          <w:tab w:val="left" w:pos="780"/>
        </w:tabs>
        <w:spacing w:after="0" w:line="354" w:lineRule="exact"/>
        <w:ind w:right="60" w:firstLine="478"/>
        <w:jc w:val="both"/>
        <w:rPr>
          <w:rFonts w:ascii="宋体" w:hAnsi="宋体" w:eastAsia="宋体" w:cs="宋体"/>
          <w:color w:val="auto"/>
          <w:sz w:val="23"/>
          <w:szCs w:val="23"/>
          <w:shd w:val="clear" w:color="auto" w:fill="auto"/>
        </w:rPr>
      </w:pPr>
      <w:r>
        <w:rPr>
          <w:rFonts w:ascii="宋体" w:hAnsi="宋体" w:eastAsia="宋体" w:cs="宋体"/>
          <w:color w:val="auto"/>
          <w:sz w:val="23"/>
          <w:szCs w:val="23"/>
          <w:shd w:val="clear" w:color="auto" w:fill="auto"/>
        </w:rPr>
        <w:t>6 所高校的章程文本来看（见表 1），东南大学和华中师范大学专门设置了“举办者与学校”一章，明确规定了举办者和学校的关系。其中，东南大学不仅列举了学校享</w:t>
      </w:r>
    </w:p>
    <w:p>
      <w:pPr>
        <w:spacing w:after="0" w:line="250"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25</w:t>
      </w:r>
    </w:p>
    <w:p>
      <w:pPr>
        <w:rPr>
          <w:shd w:val="clear" w:color="auto" w:fill="auto"/>
        </w:rPr>
        <w:sectPr>
          <w:pgSz w:w="11900" w:h="16840"/>
          <w:pgMar w:top="1431" w:right="1364" w:bottom="587" w:left="1420" w:header="0" w:footer="0" w:gutter="0"/>
          <w:cols w:equalWidth="0" w:num="1">
            <w:col w:w="9120"/>
          </w:cols>
        </w:sectPr>
      </w:pPr>
    </w:p>
    <w:p>
      <w:pPr>
        <w:spacing w:after="0" w:line="263" w:lineRule="exact"/>
        <w:rPr>
          <w:color w:val="auto"/>
          <w:sz w:val="20"/>
          <w:szCs w:val="20"/>
          <w:shd w:val="clear" w:color="auto" w:fill="auto"/>
        </w:rPr>
      </w:pPr>
      <w:bookmarkStart w:id="28" w:name="page28"/>
      <w:bookmarkEnd w:id="28"/>
      <w:r>
        <w:rPr>
          <w:rFonts w:ascii="宋体" w:hAnsi="宋体" w:eastAsia="宋体" w:cs="宋体"/>
          <w:color w:val="auto"/>
          <w:sz w:val="23"/>
          <w:szCs w:val="23"/>
          <w:shd w:val="clear" w:color="auto" w:fill="auto"/>
        </w:rPr>
        <w:t>有的 7 项办学自主权，而且明确规定举办者的职责、义务，特别强调了保障学校的办学</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自主权，体现了大学自治的诉求和高校独立法人地位。其他几所学校虽然也有条文明确</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学校具有独立法人资格，依法享有办学自主权，但对举办者如何保障这种权力的实现没</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有进一步规定，在实践中缺乏执行力。笔者认为，大学章程的制定是大学实现自我管理</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和自主发展的一个重要契机，在大学章程中突出高校的独立法人地位是高校追求自治的</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重要诉求表现，也是大学治理的核心内容。</w:t>
      </w:r>
    </w:p>
    <w:p>
      <w:pPr>
        <w:spacing w:after="0" w:line="20" w:lineRule="exact"/>
        <w:rPr>
          <w:color w:val="auto"/>
          <w:sz w:val="20"/>
          <w:szCs w:val="20"/>
          <w:shd w:val="clear" w:color="auto" w:fill="auto"/>
        </w:rPr>
      </w:pPr>
      <w:r>
        <w:rPr>
          <w:color w:val="auto"/>
          <w:sz w:val="20"/>
          <w:szCs w:val="20"/>
          <w:shd w:val="clear" w:color="auto" w:fill="auto"/>
        </w:rPr>
        <w:drawing>
          <wp:anchor distT="0" distB="0" distL="114300" distR="114300" simplePos="0" relativeHeight="251658240" behindDoc="1" locked="0" layoutInCell="0" allowOverlap="1">
            <wp:simplePos x="0" y="0"/>
            <wp:positionH relativeFrom="column">
              <wp:posOffset>-635</wp:posOffset>
            </wp:positionH>
            <wp:positionV relativeFrom="paragraph">
              <wp:posOffset>243840</wp:posOffset>
            </wp:positionV>
            <wp:extent cx="5710555" cy="252920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srcRect/>
                    <a:stretch>
                      <a:fillRect/>
                    </a:stretch>
                  </pic:blipFill>
                  <pic:spPr>
                    <a:xfrm>
                      <a:off x="0" y="0"/>
                      <a:ext cx="5710555" cy="2529205"/>
                    </a:xfrm>
                    <a:prstGeom prst="rect">
                      <a:avLst/>
                    </a:prstGeom>
                    <a:noFill/>
                  </pic:spPr>
                </pic:pic>
              </a:graphicData>
            </a:graphic>
          </wp:anchor>
        </w:drawing>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51"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（二）如何平衡校内治理结构中的多元权力关系</w:t>
      </w:r>
    </w:p>
    <w:p>
      <w:pPr>
        <w:spacing w:after="0" w:line="217" w:lineRule="exact"/>
        <w:rPr>
          <w:color w:val="auto"/>
          <w:sz w:val="20"/>
          <w:szCs w:val="20"/>
          <w:shd w:val="clear" w:color="auto" w:fill="auto"/>
        </w:rPr>
      </w:pPr>
    </w:p>
    <w:p>
      <w:pPr>
        <w:spacing w:after="0" w:line="429"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大学由于其身份的复杂性决定了其权力主体的多元化与权力客体的多样性。大学章程作为校内“宪法”，正是通过对大学内多元主体的权力配置和制度安排，实现彼此权力的分权制衡。在大学内部治理结构中，党委领导权、校长行政权、教授学术权，以及教师与学生的民主参与权和监督权成为最容易产生矛盾和冲突。如何通过大学章程平衡各种权力关系，实现多元权力的有效、有序运行，是大学章程制定中面临的又一个难点问题。</w:t>
      </w:r>
    </w:p>
    <w:p>
      <w:pPr>
        <w:spacing w:after="0" w:line="194"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1.党委领导权与校长行政权</w:t>
      </w:r>
    </w:p>
    <w:p>
      <w:pPr>
        <w:spacing w:after="0" w:line="228" w:lineRule="exact"/>
        <w:rPr>
          <w:color w:val="auto"/>
          <w:sz w:val="20"/>
          <w:szCs w:val="20"/>
          <w:shd w:val="clear" w:color="auto" w:fill="auto"/>
        </w:rPr>
      </w:pPr>
    </w:p>
    <w:p>
      <w:pPr>
        <w:spacing w:after="0" w:line="429" w:lineRule="exact"/>
        <w:ind w:right="20" w:firstLine="480"/>
        <w:jc w:val="both"/>
        <w:rPr>
          <w:color w:val="auto"/>
          <w:sz w:val="20"/>
          <w:szCs w:val="20"/>
          <w:shd w:val="clear" w:color="auto" w:fill="auto"/>
        </w:rPr>
      </w:pPr>
      <w:r>
        <w:rPr>
          <w:rFonts w:ascii="宋体" w:hAnsi="宋体" w:eastAsia="宋体" w:cs="宋体"/>
          <w:color w:val="auto"/>
          <w:sz w:val="23"/>
          <w:szCs w:val="23"/>
          <w:shd w:val="clear" w:color="auto" w:fill="auto"/>
        </w:rPr>
        <w:t>我国公立高校实行的是中国共产党高等学校基层委员会领导下的校长负责制，所以高校的领导体制主要是党委的政治领导权与校长行政权的协调运行。一般来说，党委是学校的领导核心，其领导权主要体现在宏观的战略决策、思想政治工作，以及对学校改革和发展中重大事件的决策上；校长是学校的法定代表人，主要负责学校的教学、科学研究和其他具体行政管理工作。看似明确的分工，在实践中却往往容易出现“政治组织框架内的‘一把手’与大学法律框架下的‘一把手’双峰对峙的现象。当校长与书记的</w:t>
      </w:r>
    </w:p>
    <w:p>
      <w:pPr>
        <w:spacing w:after="0" w:line="200" w:lineRule="exact"/>
        <w:rPr>
          <w:color w:val="auto"/>
          <w:sz w:val="20"/>
          <w:szCs w:val="20"/>
          <w:shd w:val="clear" w:color="auto" w:fill="auto"/>
        </w:rPr>
      </w:pPr>
    </w:p>
    <w:p>
      <w:pPr>
        <w:spacing w:after="0" w:line="352"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26</w:t>
      </w:r>
    </w:p>
    <w:p>
      <w:pPr>
        <w:rPr>
          <w:shd w:val="clear" w:color="auto" w:fill="auto"/>
        </w:rPr>
        <w:sectPr>
          <w:pgSz w:w="11900" w:h="16840"/>
          <w:pgMar w:top="1431" w:right="1404" w:bottom="587" w:left="1420" w:header="0" w:footer="0" w:gutter="0"/>
          <w:cols w:equalWidth="0" w:num="1">
            <w:col w:w="9080"/>
          </w:cols>
        </w:sectPr>
      </w:pPr>
    </w:p>
    <w:p>
      <w:pPr>
        <w:spacing w:after="0" w:line="13" w:lineRule="exact"/>
        <w:rPr>
          <w:color w:val="auto"/>
          <w:sz w:val="20"/>
          <w:szCs w:val="20"/>
          <w:shd w:val="clear" w:color="auto" w:fill="auto"/>
        </w:rPr>
      </w:pPr>
      <w:bookmarkStart w:id="29" w:name="page29"/>
      <w:bookmarkEnd w:id="29"/>
    </w:p>
    <w:p>
      <w:pPr>
        <w:spacing w:after="0" w:line="410" w:lineRule="exact"/>
        <w:jc w:val="both"/>
        <w:rPr>
          <w:color w:val="auto"/>
          <w:sz w:val="20"/>
          <w:szCs w:val="20"/>
          <w:shd w:val="clear" w:color="auto" w:fill="auto"/>
        </w:rPr>
      </w:pPr>
      <w:r>
        <w:rPr>
          <w:rFonts w:ascii="宋体" w:hAnsi="宋体" w:eastAsia="宋体" w:cs="宋体"/>
          <w:color w:val="auto"/>
          <w:sz w:val="24"/>
          <w:szCs w:val="24"/>
          <w:shd w:val="clear" w:color="auto" w:fill="auto"/>
        </w:rPr>
        <w:t>意见不一致时，这种政治框架与法律框架的不协调，就会成为学校内耗的根源，妨碍学校的发展。”[2]所以如何在大学章程中处理这两种权力的关系就成为实际问题。如果处理不当，不仅不符合法律规定，还有可能在实践中导致双方互相放弃权力，推诿责任，或者产生权力冲突甚至权力斗争。</w:t>
      </w:r>
    </w:p>
    <w:p>
      <w:pPr>
        <w:spacing w:after="0" w:line="229" w:lineRule="exact"/>
        <w:rPr>
          <w:color w:val="auto"/>
          <w:sz w:val="20"/>
          <w:szCs w:val="20"/>
          <w:shd w:val="clear" w:color="auto" w:fill="auto"/>
        </w:rPr>
      </w:pPr>
    </w:p>
    <w:p>
      <w:pPr>
        <w:numPr>
          <w:ilvl w:val="0"/>
          <w:numId w:val="4"/>
        </w:numPr>
        <w:tabs>
          <w:tab w:val="left" w:pos="780"/>
        </w:tabs>
        <w:spacing w:after="0" w:line="434" w:lineRule="exact"/>
        <w:ind w:right="60" w:firstLine="478"/>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6 所大学的章程文本来看（见表 2），各校基本上都从实体上对党委和校长的地位及职权范围进行了规定：党委是学校的领导核心，支持校长依法独立行使职权，校长是学校的法定代表人和行政负责人，各自职权内容基本都是参照我国现有的法律法规进行规定的。其中，东南大学、上海外国语大学和中国人民大学针对党委常委会和校长办公会的具体议事规则做出了规定，明确了会议召开次数、出席人数、表决通过人数以及校长办公会的组成等内容，从程序上对权力运行进行了规范。程序正义是实体正义的前提和基础，程序性的规定有利于保证权力运行规范化，防止滥用权力。</w:t>
      </w:r>
    </w:p>
    <w:p>
      <w:pPr>
        <w:spacing w:after="0" w:line="20" w:lineRule="exact"/>
        <w:rPr>
          <w:color w:val="auto"/>
          <w:sz w:val="20"/>
          <w:szCs w:val="20"/>
          <w:shd w:val="clear" w:color="auto" w:fill="auto"/>
        </w:rPr>
      </w:pPr>
      <w:r>
        <w:rPr>
          <w:color w:val="auto"/>
          <w:sz w:val="20"/>
          <w:szCs w:val="20"/>
          <w:shd w:val="clear" w:color="auto" w:fill="auto"/>
        </w:rPr>
        <w:drawing>
          <wp:anchor distT="0" distB="0" distL="114300" distR="114300" simplePos="0" relativeHeight="251658240" behindDoc="1" locked="0" layoutInCell="0" allowOverlap="1">
            <wp:simplePos x="0" y="0"/>
            <wp:positionH relativeFrom="column">
              <wp:posOffset>-635</wp:posOffset>
            </wp:positionH>
            <wp:positionV relativeFrom="paragraph">
              <wp:posOffset>224155</wp:posOffset>
            </wp:positionV>
            <wp:extent cx="5710555" cy="2544445"/>
            <wp:effectExtent l="0" t="0" r="444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srcRect/>
                    <a:stretch>
                      <a:fillRect/>
                    </a:stretch>
                  </pic:blipFill>
                  <pic:spPr>
                    <a:xfrm>
                      <a:off x="0" y="0"/>
                      <a:ext cx="5710555" cy="2544445"/>
                    </a:xfrm>
                    <a:prstGeom prst="rect">
                      <a:avLst/>
                    </a:prstGeom>
                    <a:noFill/>
                  </pic:spPr>
                </pic:pic>
              </a:graphicData>
            </a:graphic>
          </wp:anchor>
        </w:drawing>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55"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2.行政权与学术权</w:t>
      </w:r>
    </w:p>
    <w:p>
      <w:pPr>
        <w:spacing w:after="0" w:line="227" w:lineRule="exact"/>
        <w:rPr>
          <w:color w:val="auto"/>
          <w:sz w:val="20"/>
          <w:szCs w:val="20"/>
          <w:shd w:val="clear" w:color="auto" w:fill="auto"/>
        </w:rPr>
      </w:pPr>
    </w:p>
    <w:p>
      <w:pPr>
        <w:spacing w:after="0" w:line="439"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行政权是以校长为代表的高校各级行政组织和行政管理人员依靠特定手段，为有效执行学校决策而拥有的权力。学术权指的是从事学术研究的人员和学术组织对学术事务所拥有和掌控的权力。学术权是现代大学中特有的一种权力。尊重学术权力、崇尚学术自由历来是中外高校所崇尚的理念和追求的目标。学术权主要通过学术组织的机制运行来行使。早在我国 1998 年颁布的《高等教育法》第 42 条就对高校学术组织做了规定：“高等学校设立学术委员会，审议学科、专业的设置，教学、科学研究计划方案，评定教学、科学研究成果等有关学术事项。”但该条规定过于简单和原则，缺乏可操作性，以致学术组织的规范和建设工作在我国高校并没有引起足够的重视，其导致的后果是行</w:t>
      </w:r>
    </w:p>
    <w:p>
      <w:pPr>
        <w:spacing w:after="0" w:line="200" w:lineRule="exact"/>
        <w:rPr>
          <w:color w:val="auto"/>
          <w:sz w:val="20"/>
          <w:szCs w:val="20"/>
          <w:shd w:val="clear" w:color="auto" w:fill="auto"/>
        </w:rPr>
      </w:pPr>
    </w:p>
    <w:p>
      <w:pPr>
        <w:spacing w:after="0" w:line="245"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27</w:t>
      </w:r>
    </w:p>
    <w:p>
      <w:pPr>
        <w:rPr>
          <w:shd w:val="clear" w:color="auto" w:fill="auto"/>
        </w:rPr>
        <w:sectPr>
          <w:pgSz w:w="11900" w:h="16840"/>
          <w:pgMar w:top="1440" w:right="1364" w:bottom="587" w:left="1420" w:header="0" w:footer="0" w:gutter="0"/>
          <w:cols w:equalWidth="0" w:num="1">
            <w:col w:w="9120"/>
          </w:cols>
        </w:sectPr>
      </w:pPr>
    </w:p>
    <w:p>
      <w:pPr>
        <w:spacing w:after="0" w:line="13" w:lineRule="exact"/>
        <w:rPr>
          <w:color w:val="auto"/>
          <w:sz w:val="20"/>
          <w:szCs w:val="20"/>
          <w:shd w:val="clear" w:color="auto" w:fill="auto"/>
        </w:rPr>
      </w:pPr>
      <w:bookmarkStart w:id="30" w:name="page30"/>
      <w:bookmarkEnd w:id="30"/>
    </w:p>
    <w:p>
      <w:pPr>
        <w:spacing w:after="0" w:line="434" w:lineRule="exact"/>
        <w:jc w:val="both"/>
        <w:rPr>
          <w:color w:val="auto"/>
          <w:sz w:val="20"/>
          <w:szCs w:val="20"/>
          <w:shd w:val="clear" w:color="auto" w:fill="auto"/>
        </w:rPr>
      </w:pPr>
      <w:r>
        <w:rPr>
          <w:rFonts w:ascii="宋体" w:hAnsi="宋体" w:eastAsia="宋体" w:cs="宋体"/>
          <w:color w:val="auto"/>
          <w:sz w:val="23"/>
          <w:szCs w:val="23"/>
          <w:shd w:val="clear" w:color="auto" w:fill="auto"/>
        </w:rPr>
        <w:t>政权的日益泛化和学术权逐渐弱化。行政权力在高校治理中的非合理配置以及在实践中的泛化与滥用导致了高校权力结构失衡。目前，我国高校一般都设置有学术委员会、学位评定委员会、职称评审委员会、教授委员会等学术组织，但对学术组织成员的确定、议事规则、监督方式等方面的规定并不明晰和完善。而且，学术组织的组成人员中具有行政职务的人员占多数，在实际工作中，学术权力往往受到行政权力的干涉，学术行政化的情况日益明显。此次《暂行办法》要求章程应当明确规定学术组织的组成原则、负责人产生机制、运行规则与监督机制，维护学术活动的独立性，尊重学术自由。</w:t>
      </w:r>
    </w:p>
    <w:p>
      <w:pPr>
        <w:spacing w:after="0" w:line="20" w:lineRule="exact"/>
        <w:rPr>
          <w:color w:val="auto"/>
          <w:sz w:val="20"/>
          <w:szCs w:val="20"/>
          <w:shd w:val="clear" w:color="auto" w:fill="auto"/>
        </w:rPr>
      </w:pPr>
      <w:r>
        <w:rPr>
          <w:color w:val="auto"/>
          <w:sz w:val="20"/>
          <w:szCs w:val="20"/>
          <w:shd w:val="clear" w:color="auto" w:fill="auto"/>
        </w:rPr>
        <w:drawing>
          <wp:anchor distT="0" distB="0" distL="114300" distR="114300" simplePos="0" relativeHeight="251658240" behindDoc="1" locked="0" layoutInCell="0" allowOverlap="1">
            <wp:simplePos x="0" y="0"/>
            <wp:positionH relativeFrom="column">
              <wp:posOffset>-635</wp:posOffset>
            </wp:positionH>
            <wp:positionV relativeFrom="paragraph">
              <wp:posOffset>319405</wp:posOffset>
            </wp:positionV>
            <wp:extent cx="5709920" cy="2738120"/>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srcRect/>
                    <a:stretch>
                      <a:fillRect/>
                    </a:stretch>
                  </pic:blipFill>
                  <pic:spPr>
                    <a:xfrm>
                      <a:off x="0" y="0"/>
                      <a:ext cx="5709920" cy="2738120"/>
                    </a:xfrm>
                    <a:prstGeom prst="rect">
                      <a:avLst/>
                    </a:prstGeom>
                    <a:noFill/>
                  </pic:spPr>
                </pic:pic>
              </a:graphicData>
            </a:graphic>
          </wp:anchor>
        </w:drawing>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38" w:lineRule="exact"/>
        <w:rPr>
          <w:color w:val="auto"/>
          <w:sz w:val="20"/>
          <w:szCs w:val="20"/>
          <w:shd w:val="clear" w:color="auto" w:fill="auto"/>
        </w:rPr>
      </w:pPr>
    </w:p>
    <w:p>
      <w:pPr>
        <w:numPr>
          <w:ilvl w:val="0"/>
          <w:numId w:val="5"/>
        </w:numPr>
        <w:tabs>
          <w:tab w:val="left" w:pos="780"/>
        </w:tabs>
        <w:spacing w:after="0" w:line="442" w:lineRule="exact"/>
        <w:ind w:firstLine="478"/>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6 所高校的章程文本来看（见表 3），各高校基本都设置了学术委员会、学位评定委员会等学术组织，有的学校还包括教学委员会、职称评审委员会等。中国人民大学就学术组织的组成、会议决策程序做出了详细规定，而其他几所大学仅对学术组织的职权范围进行了规定。由于学术组织的设置涉及学术权与行政权的权力配置问题，特别是涉及担任行政职务人员在学术组织中的地位问题，大多高校对此采取了较为保守的态度，即对行政人员在学术组织中的任职问题采取回避态度。中国人民大学章程规定“学术委员会主任一般由不担任行政职务的资深教授担任”，可算有所突破。在目前缺乏法律具体规定的情况下，大学章程如何健全学术组织机构的运行机制，确保学术权力效能的充分发挥成为大学章程制定的重要问题。</w:t>
      </w:r>
    </w:p>
    <w:p>
      <w:pPr>
        <w:spacing w:after="0" w:line="195"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3.民主参与权与监督权</w:t>
      </w:r>
    </w:p>
    <w:p>
      <w:pPr>
        <w:spacing w:after="0" w:line="227" w:lineRule="exact"/>
        <w:rPr>
          <w:color w:val="auto"/>
          <w:sz w:val="20"/>
          <w:szCs w:val="20"/>
          <w:shd w:val="clear" w:color="auto" w:fill="auto"/>
        </w:rPr>
      </w:pPr>
    </w:p>
    <w:p>
      <w:pPr>
        <w:spacing w:after="0" w:line="354" w:lineRule="exact"/>
        <w:ind w:right="60" w:firstLine="480"/>
        <w:rPr>
          <w:color w:val="auto"/>
          <w:sz w:val="20"/>
          <w:szCs w:val="20"/>
          <w:shd w:val="clear" w:color="auto" w:fill="auto"/>
        </w:rPr>
      </w:pPr>
      <w:r>
        <w:rPr>
          <w:rFonts w:ascii="宋体" w:hAnsi="宋体" w:eastAsia="宋体" w:cs="宋体"/>
          <w:color w:val="auto"/>
          <w:sz w:val="23"/>
          <w:szCs w:val="23"/>
          <w:shd w:val="clear" w:color="auto" w:fill="auto"/>
        </w:rPr>
        <w:t>高校的民主管理和民主监督，是我国基层民主政治建设的重要组成部分。大学治理机制中民主参与管理是体现民主权利，保护学生、教职工合法权益的重要途径，同时也</w:t>
      </w:r>
    </w:p>
    <w:p>
      <w:pPr>
        <w:spacing w:after="0" w:line="200" w:lineRule="exact"/>
        <w:rPr>
          <w:color w:val="auto"/>
          <w:sz w:val="20"/>
          <w:szCs w:val="20"/>
          <w:shd w:val="clear" w:color="auto" w:fill="auto"/>
        </w:rPr>
      </w:pPr>
    </w:p>
    <w:p>
      <w:pPr>
        <w:spacing w:after="0" w:line="258"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28</w:t>
      </w:r>
    </w:p>
    <w:p>
      <w:pPr>
        <w:rPr>
          <w:shd w:val="clear" w:color="auto" w:fill="auto"/>
        </w:rPr>
        <w:sectPr>
          <w:pgSz w:w="11900" w:h="16840"/>
          <w:pgMar w:top="1440" w:right="1364" w:bottom="587" w:left="1420" w:header="0" w:footer="0" w:gutter="0"/>
          <w:cols w:equalWidth="0" w:num="1">
            <w:col w:w="9120"/>
          </w:cols>
        </w:sectPr>
      </w:pPr>
    </w:p>
    <w:p>
      <w:pPr>
        <w:spacing w:after="0" w:line="263" w:lineRule="exact"/>
        <w:rPr>
          <w:color w:val="auto"/>
          <w:sz w:val="20"/>
          <w:szCs w:val="20"/>
          <w:shd w:val="clear" w:color="auto" w:fill="auto"/>
        </w:rPr>
      </w:pPr>
      <w:bookmarkStart w:id="31" w:name="page31"/>
      <w:bookmarkEnd w:id="31"/>
      <w:r>
        <w:rPr>
          <w:rFonts w:ascii="宋体" w:hAnsi="宋体" w:eastAsia="宋体" w:cs="宋体"/>
          <w:color w:val="auto"/>
          <w:sz w:val="23"/>
          <w:szCs w:val="23"/>
          <w:shd w:val="clear" w:color="auto" w:fill="auto"/>
        </w:rPr>
        <w:t>可以保障学校决策的科学化和民主化。然而，在实践中，由于高校行政化和官本位的管</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理模式使得校内机关只对上级负责，基本上不受校内师生和社会的监督，教代会、学代</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会在一些学校已经成为“走过场”和“形式主义”，教职工与学生的参与权和监督权严</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重缺失。此次《暂行办法》第 12 条规定：“章程应当明确规定教职工代表大会、学生代</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表大会的地位作用、职责权限、组成与负责人产生规则，以及议事程序等，维护师生员</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工通过教职工代表大会、学生代表大会参与学校相关事项的民主决策、实施监督的权</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利。”</w:t>
      </w:r>
    </w:p>
    <w:p>
      <w:pPr>
        <w:spacing w:after="0" w:line="227" w:lineRule="exact"/>
        <w:rPr>
          <w:color w:val="auto"/>
          <w:sz w:val="20"/>
          <w:szCs w:val="20"/>
          <w:shd w:val="clear" w:color="auto" w:fill="auto"/>
        </w:rPr>
      </w:pPr>
    </w:p>
    <w:p>
      <w:pPr>
        <w:numPr>
          <w:ilvl w:val="0"/>
          <w:numId w:val="6"/>
        </w:numPr>
        <w:tabs>
          <w:tab w:val="left" w:pos="780"/>
        </w:tabs>
        <w:spacing w:after="0" w:line="434" w:lineRule="exact"/>
        <w:ind w:firstLine="478"/>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6 所大学的章程文本来看（见表 4），各高校基本上都明确规定了教职工代表大会和学生代表大会的地位作用和职责权限，但是从人员组成、议事规则、决策程序等操作性规定来看不太乐观。仅有上海外国语大学和中国人民大学就民主管理机构的组成和议事程序进行了详细规定，明确了会议召开和决策的具体程序，而其他学校的程序性规定基本处于空白。没有具体操作性的程序规定，很可能使执行中的效果大打折扣，容易使民主参与和监督成为“形式主义”。如何通过大学章程的制度设计改变民主管理现状是高校面临的重要问题。</w:t>
      </w:r>
    </w:p>
    <w:p>
      <w:pPr>
        <w:spacing w:after="0" w:line="20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二、突破困惑的思路与建议</w:t>
      </w:r>
    </w:p>
    <w:p>
      <w:pPr>
        <w:spacing w:after="0" w:line="202" w:lineRule="exact"/>
        <w:rPr>
          <w:color w:val="auto"/>
          <w:sz w:val="20"/>
          <w:szCs w:val="20"/>
          <w:shd w:val="clear" w:color="auto" w:fill="auto"/>
        </w:rPr>
      </w:pPr>
    </w:p>
    <w:p>
      <w:pPr>
        <w:spacing w:after="0" w:line="263" w:lineRule="exact"/>
        <w:ind w:left="460"/>
        <w:rPr>
          <w:color w:val="auto"/>
          <w:sz w:val="20"/>
          <w:szCs w:val="20"/>
          <w:shd w:val="clear" w:color="auto" w:fill="auto"/>
        </w:rPr>
      </w:pPr>
      <w:r>
        <w:rPr>
          <w:rFonts w:ascii="宋体" w:hAnsi="宋体" w:eastAsia="宋体" w:cs="宋体"/>
          <w:color w:val="auto"/>
          <w:sz w:val="23"/>
          <w:szCs w:val="23"/>
          <w:shd w:val="clear" w:color="auto" w:fill="auto"/>
        </w:rPr>
        <w:t>“大学章程建设的本质是完善大学治理结构，规制大学权力的运行，促进并保障大</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学形成自主发展与自我约束的机制。”[3]通过大学章程突显高校独立法人地位，落实高</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校办学自主权，平衡校内治理结构中的多元权力关系，实现大学规范、有序、健康的自</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治是制定大学章程的根本目的。</w:t>
      </w:r>
    </w:p>
    <w:p>
      <w:pPr>
        <w:spacing w:after="0" w:line="20" w:lineRule="exact"/>
        <w:rPr>
          <w:color w:val="auto"/>
          <w:sz w:val="20"/>
          <w:szCs w:val="20"/>
          <w:shd w:val="clear" w:color="auto" w:fill="auto"/>
        </w:rPr>
      </w:pPr>
      <w:r>
        <w:rPr>
          <w:color w:val="auto"/>
          <w:sz w:val="20"/>
          <w:szCs w:val="20"/>
          <w:shd w:val="clear" w:color="auto" w:fill="auto"/>
        </w:rPr>
        <w:drawing>
          <wp:anchor distT="0" distB="0" distL="114300" distR="114300" simplePos="0" relativeHeight="251658240" behindDoc="1" locked="0" layoutInCell="0" allowOverlap="1">
            <wp:simplePos x="0" y="0"/>
            <wp:positionH relativeFrom="column">
              <wp:posOffset>-635</wp:posOffset>
            </wp:positionH>
            <wp:positionV relativeFrom="paragraph">
              <wp:posOffset>220980</wp:posOffset>
            </wp:positionV>
            <wp:extent cx="5709920" cy="2160905"/>
            <wp:effectExtent l="0" t="0" r="508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srcRect/>
                    <a:stretch>
                      <a:fillRect/>
                    </a:stretch>
                  </pic:blipFill>
                  <pic:spPr>
                    <a:xfrm>
                      <a:off x="0" y="0"/>
                      <a:ext cx="5709920" cy="2160905"/>
                    </a:xfrm>
                    <a:prstGeom prst="rect">
                      <a:avLst/>
                    </a:prstGeom>
                    <a:noFill/>
                  </pic:spPr>
                </pic:pic>
              </a:graphicData>
            </a:graphic>
          </wp:anchor>
        </w:drawing>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54"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（一）尊重高校独立法人地位，明确政府与学校的权力边界</w:t>
      </w:r>
    </w:p>
    <w:p>
      <w:pPr>
        <w:spacing w:after="0" w:line="194" w:lineRule="exact"/>
        <w:rPr>
          <w:color w:val="auto"/>
          <w:sz w:val="20"/>
          <w:szCs w:val="20"/>
          <w:shd w:val="clear" w:color="auto" w:fill="auto"/>
        </w:rPr>
      </w:pPr>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政府与高校的关系“从公法的角度看，是政府与高校之间权力如何分配及各自的法</w:t>
      </w:r>
    </w:p>
    <w:p>
      <w:pPr>
        <w:spacing w:after="0" w:line="19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律地位的问题。政府与高校之间的权力分配犹如一根红线贯穿于高等教育法律规范之</w:t>
      </w:r>
    </w:p>
    <w:p>
      <w:pPr>
        <w:spacing w:after="0" w:line="112"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29</w:t>
      </w:r>
    </w:p>
    <w:p>
      <w:pPr>
        <w:rPr>
          <w:shd w:val="clear" w:color="auto" w:fill="auto"/>
        </w:rPr>
        <w:sectPr>
          <w:pgSz w:w="11900" w:h="16840"/>
          <w:pgMar w:top="1431" w:right="1404" w:bottom="587" w:left="1420" w:header="0" w:footer="0" w:gutter="0"/>
          <w:cols w:equalWidth="0" w:num="1">
            <w:col w:w="9080"/>
          </w:cols>
        </w:sectPr>
      </w:pPr>
    </w:p>
    <w:p>
      <w:pPr>
        <w:spacing w:after="0" w:line="13" w:lineRule="exact"/>
        <w:rPr>
          <w:color w:val="auto"/>
          <w:sz w:val="20"/>
          <w:szCs w:val="20"/>
          <w:shd w:val="clear" w:color="auto" w:fill="auto"/>
        </w:rPr>
      </w:pPr>
      <w:bookmarkStart w:id="32" w:name="page32"/>
      <w:bookmarkEnd w:id="32"/>
    </w:p>
    <w:p>
      <w:pPr>
        <w:spacing w:after="0" w:line="446" w:lineRule="exact"/>
        <w:ind w:right="40"/>
        <w:jc w:val="both"/>
        <w:rPr>
          <w:color w:val="auto"/>
          <w:sz w:val="20"/>
          <w:szCs w:val="20"/>
          <w:shd w:val="clear" w:color="auto" w:fill="auto"/>
        </w:rPr>
      </w:pPr>
      <w:r>
        <w:rPr>
          <w:rFonts w:ascii="宋体" w:hAnsi="宋体" w:eastAsia="宋体" w:cs="宋体"/>
          <w:color w:val="auto"/>
          <w:sz w:val="23"/>
          <w:szCs w:val="23"/>
          <w:shd w:val="clear" w:color="auto" w:fill="auto"/>
        </w:rPr>
        <w:t>中。政府权力与高校权力的界限如何确定以及高校办学自主权如何获得法律上的正当性是关键问题。”[4]西方国家高校与政府法律关系间的权力分配理论有多种，但其共同的趋向就是通过法律使二者的权力达到法律化。笔者认为，我国政府与高校的权利义务关系也应当由国家立法来规定。尽管此次《暂行办法》第 19 条给出了一个对于大学章程中涉及政府与高校权利义务关系的解决办法：“起草章程，涉及与举办者权利关系的内容，高等学校应当与举办者、主管教育行政部门及其他相关部门充分沟通、协商。”但是，就笔者所调研的高校来看，这种沟通和协商并不容易。其一，受传统政府与大学二者地位不对等观念的影响，学校听从政府的命令和安排，让学校与政府平等沟通协商还未形成良好模式，学校尝试者较少。其二，通过对教育行政部门的调研了解到，目前教育行政部门并不是不支持学校与其沟通交流，而是教育行政部门本身对于举办者的权利与义务也没有特别明确和成文的规定，尚处在探索和研究之中。</w:t>
      </w:r>
    </w:p>
    <w:p>
      <w:pPr>
        <w:spacing w:after="0" w:line="229" w:lineRule="exact"/>
        <w:rPr>
          <w:color w:val="auto"/>
          <w:sz w:val="20"/>
          <w:szCs w:val="20"/>
          <w:shd w:val="clear" w:color="auto" w:fill="auto"/>
        </w:rPr>
      </w:pPr>
    </w:p>
    <w:p>
      <w:pPr>
        <w:spacing w:after="0" w:line="451"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就目前我国举办者和大学的关系来看，学校相对于举办者来说处于弱势方，由学校来规定举办者的职责义务似乎不大合乎法理。笔者建议可以由全国人大制定的法律、国务院制定的行政法规或教育部制定的部门规章来为政府权力划定边界，为大学自治延展更大的空间。这是降低高校外部治理行政化倾向的重要途径。通过国家立法来明确举办者的角色从“管制”走向“服务”，减少对高校内部运作和管理的关注，着眼于高校系统内外部的宏观关系和高等教育事业的质量标准及发展方向，更多地运用法规、政策、标准、公共财政等手段引导和支持教育发展，保证高校根据国家法律法规和宏观政策，自主开展办学活动。尊重高校的独立法人地位，落实高校自主权，并不是要完全摒弃政府的管理，而是要求政府转变治理观念，改变管理模式。特别是在实践中，政府应严格按照国家立法规定做到真正的放权，给予大学办学自主权，减少对高校的行政审批和直接干预，更多地采用支持和引导的手段，这样才不至于使写入章程中的内容成为形式。对于高校来说，应当在大学章程中明确学校办学自主权的内容，同时，应当健全学校办学自主权的行使与监督机制，在管理体制中明确具体自主权事项的基本规则、决策程序与监督机制。</w:t>
      </w:r>
    </w:p>
    <w:p>
      <w:pPr>
        <w:spacing w:after="0" w:line="205" w:lineRule="exact"/>
        <w:rPr>
          <w:color w:val="auto"/>
          <w:sz w:val="20"/>
          <w:szCs w:val="20"/>
          <w:shd w:val="clear" w:color="auto" w:fill="auto"/>
        </w:rPr>
      </w:pPr>
    </w:p>
    <w:p>
      <w:pPr>
        <w:spacing w:after="0" w:line="274" w:lineRule="exact"/>
        <w:ind w:left="360"/>
        <w:rPr>
          <w:color w:val="auto"/>
          <w:sz w:val="20"/>
          <w:szCs w:val="20"/>
          <w:shd w:val="clear" w:color="auto" w:fill="auto"/>
        </w:rPr>
      </w:pPr>
      <w:r>
        <w:rPr>
          <w:rFonts w:ascii="楷体" w:hAnsi="楷体" w:eastAsia="楷体" w:cs="楷体"/>
          <w:b/>
          <w:bCs/>
          <w:color w:val="auto"/>
          <w:sz w:val="24"/>
          <w:szCs w:val="24"/>
          <w:shd w:val="clear" w:color="auto" w:fill="auto"/>
        </w:rPr>
        <w:t>（二）明确党委与校长的权力范围与运行机制</w:t>
      </w:r>
    </w:p>
    <w:p>
      <w:pPr>
        <w:spacing w:after="0" w:line="194" w:lineRule="exact"/>
        <w:rPr>
          <w:color w:val="auto"/>
          <w:sz w:val="20"/>
          <w:szCs w:val="20"/>
          <w:shd w:val="clear" w:color="auto" w:fill="auto"/>
        </w:rPr>
      </w:pPr>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党委与校长在高校治理中都属于领导层面的权力主体，在学校事务管理中具有相应</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的决策权，但是二者在职权分工上应当具有一定的差异性。关于党委权力的具体内容，</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高校可以参考我国《高等教育法》第 39 条以及中共中央专门针对高校基层党组织制定</w:t>
      </w:r>
    </w:p>
    <w:p>
      <w:pPr>
        <w:spacing w:after="0" w:line="204" w:lineRule="exact"/>
        <w:rPr>
          <w:color w:val="auto"/>
          <w:sz w:val="20"/>
          <w:szCs w:val="20"/>
          <w:shd w:val="clear" w:color="auto" w:fill="auto"/>
        </w:rPr>
      </w:pPr>
    </w:p>
    <w:p>
      <w:pPr>
        <w:spacing w:after="0" w:line="263" w:lineRule="exact"/>
        <w:rPr>
          <w:color w:val="auto"/>
          <w:sz w:val="20"/>
          <w:szCs w:val="20"/>
          <w:shd w:val="clear" w:color="auto" w:fill="auto"/>
        </w:rPr>
      </w:pPr>
      <w:r>
        <w:rPr>
          <w:rFonts w:ascii="宋体" w:hAnsi="宋体" w:eastAsia="宋体" w:cs="宋体"/>
          <w:color w:val="auto"/>
          <w:sz w:val="23"/>
          <w:szCs w:val="23"/>
          <w:shd w:val="clear" w:color="auto" w:fill="auto"/>
        </w:rPr>
        <w:t>和颁布的《中国共产党普通高等学校基层组织工作条例》的规定。关于校长的职权则可</w:t>
      </w:r>
    </w:p>
    <w:p>
      <w:pPr>
        <w:spacing w:after="0" w:line="249"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30</w:t>
      </w:r>
    </w:p>
    <w:p>
      <w:pPr>
        <w:rPr>
          <w:shd w:val="clear" w:color="auto" w:fill="auto"/>
        </w:rPr>
        <w:sectPr>
          <w:pgSz w:w="11900" w:h="16840"/>
          <w:pgMar w:top="1440" w:right="1364" w:bottom="587" w:left="1420" w:header="0" w:footer="0" w:gutter="0"/>
          <w:cols w:equalWidth="0" w:num="1">
            <w:col w:w="9120"/>
          </w:cols>
        </w:sectPr>
      </w:pPr>
    </w:p>
    <w:p>
      <w:pPr>
        <w:spacing w:after="0" w:line="13" w:lineRule="exact"/>
        <w:rPr>
          <w:color w:val="auto"/>
          <w:sz w:val="20"/>
          <w:szCs w:val="20"/>
          <w:shd w:val="clear" w:color="auto" w:fill="auto"/>
        </w:rPr>
      </w:pPr>
      <w:bookmarkStart w:id="33" w:name="page33"/>
      <w:bookmarkEnd w:id="33"/>
    </w:p>
    <w:p>
      <w:pPr>
        <w:spacing w:after="0" w:line="455" w:lineRule="exact"/>
        <w:jc w:val="both"/>
        <w:rPr>
          <w:color w:val="auto"/>
          <w:sz w:val="20"/>
          <w:szCs w:val="20"/>
          <w:shd w:val="clear" w:color="auto" w:fill="auto"/>
        </w:rPr>
      </w:pPr>
      <w:r>
        <w:rPr>
          <w:rFonts w:ascii="宋体" w:hAnsi="宋体" w:eastAsia="宋体" w:cs="宋体"/>
          <w:color w:val="auto"/>
          <w:sz w:val="23"/>
          <w:szCs w:val="23"/>
          <w:shd w:val="clear" w:color="auto" w:fill="auto"/>
        </w:rPr>
        <w:t>以依据《高等教育法》第 41 条的规定起草。党委的职责主要是围绕学习、宣传和执行党的路线、方针、政策，领导学校的思想政治工作和德育工作，讨论和决定有关学校改革和发展的重大问题，管理、考核和监督干部，领导学校群众组织，做好统一战线工作等。校长的职权则主要围绕拟订发展规划，组织教学活动、科学研究，拟订内部组织机构的设置方案，聘任与解聘教师，管理和奖惩学生，拟订和执行年度经费预算方案等。教育部核准的 6 所高校的章程基本都是参照上述规定制定的。高校可以在不违背上述规定的基础上，结合本校的实际情况进行细化。从本质上说，党委与校长的两种权力并不存在目的上的根本差异，但为了充分发挥二者的权力功能，避免权力重叠或权力缺失，必须对两种权力内容加以明确。“在党委和行政的关系上，党委要充分调动校长和其他行政领导的积极性和主动性，大力支持校长独立负责地行使职权；校长要对学校党委负责，对党委的领导负责，对党委的决议负责，独立负责地行使行政管理职权，使党委的决议在行政管理工作中得到全面贯彻。”[5]另外，大学章程需要明确党委集体领导和校长行政权运行的基本议事规则和决策程序。一般来说，在高校中，党委常委会是校党委的日常办事机构，校长办公会议或者校务会议是校长执行权力的主要形式。所以，大学章程应当针对党委常委会和校长办公会的组成、职责、议事规则进行明确规定，写明会议召开的周期、有效出席人数、表决方式、决议通过人数等内容。在具体细节上可以有所不同，如中国人民大学规定党委常委会和校长办公会都需要实际到会人数达到应到会人数的 4/5 以上方可召开，而东南大学和上海外国语大学则规定出席人员达到或超过全体人数的 2/3 即可召开，这体现了学校在管理体制上的不同要求。</w:t>
      </w:r>
    </w:p>
    <w:p>
      <w:pPr>
        <w:spacing w:after="0" w:line="20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（三）尊重和规范学术权，建立服务行政体系</w:t>
      </w:r>
    </w:p>
    <w:p>
      <w:pPr>
        <w:spacing w:after="0" w:line="217" w:lineRule="exact"/>
        <w:rPr>
          <w:color w:val="auto"/>
          <w:sz w:val="20"/>
          <w:szCs w:val="20"/>
          <w:shd w:val="clear" w:color="auto" w:fill="auto"/>
        </w:rPr>
      </w:pPr>
    </w:p>
    <w:p>
      <w:pPr>
        <w:spacing w:after="0" w:line="444"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学术委员会应当真正成为大学学术事务的最高决策机构，在教学评价、科学研究、学科建设、职称评定、考核评奖、课程设置、教材建设、师资培养、教师聘任、学位授予以及招生就业等方面涉及的学术事务中，充分发挥学术委员会的权力。大学章程应当建立规范的学术组织体系，科学设计学术机构的人员构成，明确委员任职资格、委员人数、遴选办法、任职年限及构成原则等，明确规定提案方式、议事程序、表决方式、决议方式、监督机制等，保证会议召开的合法性、公平性和公开性。为了有效避免行政权在学术事务中对学术权的干涉，对于担任行政职务的人员在学术组织中的比例应当有所限定，保证一般教师的参与面。此次教育部核准的 6 部章程中，只有中国人民大学在学术委员会的组成中提到“学术委员会主任一般由不担任行政职务的资深教授担任。”对于行政职务人员在学术组织中的比例，各校基本都没有涉及。值得注意的是，2013 年</w:t>
      </w:r>
    </w:p>
    <w:p>
      <w:pPr>
        <w:spacing w:after="0" w:line="253"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31</w:t>
      </w:r>
    </w:p>
    <w:p>
      <w:pPr>
        <w:rPr>
          <w:shd w:val="clear" w:color="auto" w:fill="auto"/>
        </w:rPr>
        <w:sectPr>
          <w:pgSz w:w="11900" w:h="16840"/>
          <w:pgMar w:top="1440" w:right="1364" w:bottom="587" w:left="1420" w:header="0" w:footer="0" w:gutter="0"/>
          <w:cols w:equalWidth="0" w:num="1">
            <w:col w:w="9120"/>
          </w:cols>
        </w:sectPr>
      </w:pPr>
    </w:p>
    <w:p>
      <w:pPr>
        <w:spacing w:after="0" w:line="13" w:lineRule="exact"/>
        <w:rPr>
          <w:color w:val="auto"/>
          <w:sz w:val="20"/>
          <w:szCs w:val="20"/>
          <w:shd w:val="clear" w:color="auto" w:fill="auto"/>
        </w:rPr>
      </w:pPr>
      <w:bookmarkStart w:id="34" w:name="page34"/>
      <w:bookmarkEnd w:id="34"/>
    </w:p>
    <w:p>
      <w:pPr>
        <w:spacing w:after="0" w:line="449" w:lineRule="exact"/>
        <w:rPr>
          <w:color w:val="auto"/>
          <w:sz w:val="20"/>
          <w:szCs w:val="20"/>
          <w:shd w:val="clear" w:color="auto" w:fill="auto"/>
        </w:rPr>
      </w:pPr>
      <w:r>
        <w:rPr>
          <w:rFonts w:ascii="宋体" w:hAnsi="宋体" w:eastAsia="宋体" w:cs="宋体"/>
          <w:color w:val="auto"/>
          <w:sz w:val="24"/>
          <w:szCs w:val="24"/>
          <w:shd w:val="clear" w:color="auto" w:fill="auto"/>
        </w:rPr>
        <w:t>10 月 18 日教育部发布了《高等学校学术委员会规程》（征求意见稿），其中规定，“担任学校及相关职能部门行政领导职务的委员，不得超过委员总人数的 1/3；不担任党政领导职务及院系负责人的专任教授，不得少于委员总人数的 1/3。”同时规定了应当提交学术委员会审议或者直接由学术委员会审议决定的事项，也就是明确了学术委员会具有最终决定权的事项，赋予了学术组织明确的学术权力。虽然该规程尚未生效实施，但可以看出我国对高校学术权力未来改革的方向，建议高校在制定章程文本的时候加以参考。虽然目前我国还没有关于高校学术组织的详细规范生效法律文件，但大学章程作为具有稳定性的校内“宪法”应当具有一定的前瞻性，特别是对于学术权与行政权的规定，要尽量体现学校改革创新的成功经验与制度成果，维护学术活动的独立性。提倡尊重学术权力并不意味着要削弱行政管理，因为行政权力的合理使用是保障高校运行效率和秩序的必要条件。我们应当引入“服务行政”的理念与管理模式，构建服务型行政管理体系，寻求高校内部学术权与行政权的互补、协调与平衡，使大学治理既遵循知识和学术发展的内在规律，又满足高校自身高效有序运行的需要。</w:t>
      </w:r>
    </w:p>
    <w:p>
      <w:pPr>
        <w:spacing w:after="0" w:line="21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（四）保障民主参与管理和监督的权利，防止行政权被滥用</w:t>
      </w:r>
    </w:p>
    <w:p>
      <w:pPr>
        <w:spacing w:after="0" w:line="218" w:lineRule="exact"/>
        <w:rPr>
          <w:color w:val="auto"/>
          <w:sz w:val="20"/>
          <w:szCs w:val="20"/>
          <w:shd w:val="clear" w:color="auto" w:fill="auto"/>
        </w:rPr>
      </w:pPr>
    </w:p>
    <w:p>
      <w:pPr>
        <w:spacing w:after="0" w:line="452"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民主管理、监督机制的表现形式主要是教职工代表大会和学生代表大会。关于教职工代表大会的规定，高校可以参考 2012 年 1 月 1 日起实施的《学校教职工代表大会规定》（教育部令第 32 号令），注意其中规定的“教职工代表大会代表以教师为主体，教师代表不得低于代表总数的 60%”，“教职工代表大会每学年至少召开一次”，“教职工代表大会须有 2/3 以上教职工代表大会代表出席”，“教职工代表大会的选举和表决，须经教职工代表大会代表总数半数以上通过方为有效”。这些带有数字要求的规定是作为部门规章的底线要求，大学章程只能在此基础上有所提高，不得违背规章的最低要求，这也是保障教师民主参与权的基本要求。从操作层面来看，各高校章程普遍缺乏操作性规定，除上海外国语大学和中国人民大学外，其他高校基本没有涉及程序性规定。这在一定程度上体现了大学治理中“重实体，轻程序”的意识，直接影响到民主制度的实际操作和实施效果。大学章程应明确教代会和学代会的人员组成与职责权限；明确教师、学生参会的具体人数比例，保障其在民主参与中的主体地位；明确教师、学生有权参与讨论的学校事项范围，特别是与教师和学生切身利益息息相关的问题，必须充分给予其有效的发言权和参与权；明确规定出席参会的人数比例，重大事件投票通过的人数比例，保证议事过程的公正、公开和透明。</w:t>
      </w:r>
    </w:p>
    <w:p>
      <w:pPr>
        <w:spacing w:after="0" w:line="30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总之，由于各校的情况具有差异性，客观环境和内在认识都在变化，大学章程在制</w:t>
      </w:r>
    </w:p>
    <w:p>
      <w:pPr>
        <w:spacing w:after="0" w:line="139"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32</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35" w:name="page35"/>
      <w:bookmarkEnd w:id="35"/>
    </w:p>
    <w:p>
      <w:pPr>
        <w:spacing w:after="0" w:line="389" w:lineRule="exact"/>
        <w:jc w:val="both"/>
        <w:rPr>
          <w:color w:val="auto"/>
          <w:sz w:val="20"/>
          <w:szCs w:val="20"/>
          <w:shd w:val="clear" w:color="auto" w:fill="auto"/>
        </w:rPr>
      </w:pPr>
      <w:r>
        <w:rPr>
          <w:rFonts w:ascii="宋体" w:hAnsi="宋体" w:eastAsia="宋体" w:cs="宋体"/>
          <w:color w:val="auto"/>
          <w:sz w:val="24"/>
          <w:szCs w:val="24"/>
          <w:shd w:val="clear" w:color="auto" w:fill="auto"/>
        </w:rPr>
        <w:t>定的过程中必然会遇到各种各样的困难，要想制定一部真正规范学校治理的校内“宪法”并不是一件简单和容易的事情。我们应当允许在章程制定过程中出现各种思考和质疑的声音，只有经过不断的推敲、磨合、积累、沉淀，才能最终制定出一部真正体现大学理念，体现“宪法”精神的大学章程。</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42" w:lineRule="exact"/>
        <w:rPr>
          <w:color w:val="auto"/>
          <w:sz w:val="20"/>
          <w:szCs w:val="20"/>
          <w:shd w:val="clear" w:color="auto" w:fill="auto"/>
        </w:rPr>
      </w:pPr>
    </w:p>
    <w:p>
      <w:pPr>
        <w:spacing w:after="0" w:line="240" w:lineRule="exact"/>
        <w:ind w:left="440"/>
        <w:rPr>
          <w:color w:val="auto"/>
          <w:sz w:val="20"/>
          <w:szCs w:val="20"/>
          <w:shd w:val="clear" w:color="auto" w:fill="auto"/>
        </w:rPr>
      </w:pPr>
      <w:r>
        <w:rPr>
          <w:rFonts w:ascii="黑体" w:hAnsi="黑体" w:eastAsia="黑体" w:cs="黑体"/>
          <w:b/>
          <w:bCs/>
          <w:color w:val="auto"/>
          <w:sz w:val="21"/>
          <w:szCs w:val="21"/>
          <w:shd w:val="clear" w:color="auto" w:fill="auto"/>
        </w:rPr>
        <w:t>参考文献：</w:t>
      </w:r>
    </w:p>
    <w:p>
      <w:pPr>
        <w:spacing w:after="0" w:line="199" w:lineRule="exact"/>
        <w:rPr>
          <w:color w:val="auto"/>
          <w:sz w:val="20"/>
          <w:szCs w:val="20"/>
          <w:shd w:val="clear" w:color="auto" w:fill="auto"/>
        </w:rPr>
      </w:pPr>
    </w:p>
    <w:p>
      <w:pPr>
        <w:numPr>
          <w:ilvl w:val="0"/>
          <w:numId w:val="7"/>
        </w:numPr>
        <w:tabs>
          <w:tab w:val="left" w:pos="840"/>
        </w:tabs>
        <w:spacing w:after="0" w:line="240" w:lineRule="exact"/>
        <w:ind w:left="840" w:hanging="422"/>
        <w:rPr>
          <w:rFonts w:ascii="宋体" w:hAnsi="宋体" w:eastAsia="宋体" w:cs="宋体"/>
          <w:color w:val="auto"/>
          <w:sz w:val="21"/>
          <w:szCs w:val="21"/>
          <w:shd w:val="clear" w:color="auto" w:fill="auto"/>
        </w:rPr>
      </w:pPr>
      <w:r>
        <w:rPr>
          <w:rFonts w:ascii="宋体" w:hAnsi="宋体" w:eastAsia="宋体" w:cs="宋体"/>
          <w:color w:val="auto"/>
          <w:sz w:val="21"/>
          <w:szCs w:val="21"/>
          <w:shd w:val="clear" w:color="auto" w:fill="auto"/>
        </w:rPr>
        <w:t>王德春.试论大学权力结构失衡与协调问题[J].扬州大学学报，2007（3）.</w:t>
      </w:r>
    </w:p>
    <w:p>
      <w:pPr>
        <w:spacing w:after="0" w:line="228" w:lineRule="exact"/>
        <w:rPr>
          <w:rFonts w:ascii="宋体" w:hAnsi="宋体" w:eastAsia="宋体" w:cs="宋体"/>
          <w:color w:val="auto"/>
          <w:sz w:val="21"/>
          <w:szCs w:val="21"/>
          <w:shd w:val="clear" w:color="auto" w:fill="auto"/>
        </w:rPr>
      </w:pPr>
    </w:p>
    <w:p>
      <w:pPr>
        <w:numPr>
          <w:ilvl w:val="0"/>
          <w:numId w:val="7"/>
        </w:numPr>
        <w:tabs>
          <w:tab w:val="left" w:pos="841"/>
        </w:tabs>
        <w:spacing w:after="0" w:line="326" w:lineRule="exact"/>
        <w:ind w:right="260" w:firstLine="418"/>
        <w:rPr>
          <w:rFonts w:ascii="宋体" w:hAnsi="宋体" w:eastAsia="宋体" w:cs="宋体"/>
          <w:color w:val="auto"/>
          <w:sz w:val="21"/>
          <w:szCs w:val="21"/>
          <w:shd w:val="clear" w:color="auto" w:fill="auto"/>
        </w:rPr>
      </w:pPr>
      <w:r>
        <w:rPr>
          <w:rFonts w:ascii="宋体" w:hAnsi="宋体" w:eastAsia="宋体" w:cs="宋体"/>
          <w:color w:val="auto"/>
          <w:sz w:val="21"/>
          <w:szCs w:val="21"/>
          <w:shd w:val="clear" w:color="auto" w:fill="auto"/>
        </w:rPr>
        <w:t>周光礼.大众化条件下政府与大学关系的重构——法律的视角[G]∥劳凯声.中国教育法制评论（第 6 辑）.北京：教育科学出版社，2009：53.</w:t>
      </w:r>
    </w:p>
    <w:p>
      <w:pPr>
        <w:spacing w:after="0" w:line="200" w:lineRule="exact"/>
        <w:rPr>
          <w:rFonts w:ascii="宋体" w:hAnsi="宋体" w:eastAsia="宋体" w:cs="宋体"/>
          <w:color w:val="auto"/>
          <w:sz w:val="21"/>
          <w:szCs w:val="21"/>
          <w:shd w:val="clear" w:color="auto" w:fill="auto"/>
        </w:rPr>
      </w:pPr>
    </w:p>
    <w:p>
      <w:pPr>
        <w:numPr>
          <w:ilvl w:val="0"/>
          <w:numId w:val="7"/>
        </w:numPr>
        <w:tabs>
          <w:tab w:val="left" w:pos="840"/>
        </w:tabs>
        <w:spacing w:after="0" w:line="240" w:lineRule="exact"/>
        <w:ind w:left="840" w:hanging="422"/>
        <w:rPr>
          <w:rFonts w:ascii="宋体" w:hAnsi="宋体" w:eastAsia="宋体" w:cs="宋体"/>
          <w:color w:val="auto"/>
          <w:sz w:val="21"/>
          <w:szCs w:val="21"/>
          <w:shd w:val="clear" w:color="auto" w:fill="auto"/>
        </w:rPr>
      </w:pPr>
      <w:r>
        <w:rPr>
          <w:rFonts w:ascii="宋体" w:hAnsi="宋体" w:eastAsia="宋体" w:cs="宋体"/>
          <w:color w:val="auto"/>
          <w:sz w:val="21"/>
          <w:szCs w:val="21"/>
          <w:shd w:val="clear" w:color="auto" w:fill="auto"/>
        </w:rPr>
        <w:t>高树仁.平衡视域下的现代大学制度诠释与建构[J].高校教育管理，2013（1）.</w:t>
      </w:r>
    </w:p>
    <w:p>
      <w:pPr>
        <w:spacing w:after="0" w:line="228" w:lineRule="exact"/>
        <w:rPr>
          <w:rFonts w:ascii="宋体" w:hAnsi="宋体" w:eastAsia="宋体" w:cs="宋体"/>
          <w:color w:val="auto"/>
          <w:sz w:val="21"/>
          <w:szCs w:val="21"/>
          <w:shd w:val="clear" w:color="auto" w:fill="auto"/>
        </w:rPr>
      </w:pPr>
    </w:p>
    <w:p>
      <w:pPr>
        <w:numPr>
          <w:ilvl w:val="0"/>
          <w:numId w:val="7"/>
        </w:numPr>
        <w:tabs>
          <w:tab w:val="left" w:pos="841"/>
        </w:tabs>
        <w:spacing w:after="0" w:line="326" w:lineRule="exact"/>
        <w:ind w:right="160" w:firstLine="418"/>
        <w:rPr>
          <w:rFonts w:ascii="宋体" w:hAnsi="宋体" w:eastAsia="宋体" w:cs="宋体"/>
          <w:color w:val="auto"/>
          <w:sz w:val="21"/>
          <w:szCs w:val="21"/>
          <w:shd w:val="clear" w:color="auto" w:fill="auto"/>
        </w:rPr>
      </w:pPr>
      <w:r>
        <w:rPr>
          <w:rFonts w:ascii="宋体" w:hAnsi="宋体" w:eastAsia="宋体" w:cs="宋体"/>
          <w:color w:val="auto"/>
          <w:sz w:val="21"/>
          <w:szCs w:val="21"/>
          <w:shd w:val="clear" w:color="auto" w:fill="auto"/>
        </w:rPr>
        <w:t>程雁雷.高等教育发展中的政府角色与教育立法[C]∥全国教育政策与法律研究专业委员会第五届年会论文集，2007：282.</w:t>
      </w:r>
    </w:p>
    <w:p>
      <w:pPr>
        <w:spacing w:after="0" w:line="200" w:lineRule="exact"/>
        <w:rPr>
          <w:rFonts w:ascii="宋体" w:hAnsi="宋体" w:eastAsia="宋体" w:cs="宋体"/>
          <w:color w:val="auto"/>
          <w:sz w:val="21"/>
          <w:szCs w:val="21"/>
          <w:shd w:val="clear" w:color="auto" w:fill="auto"/>
        </w:rPr>
      </w:pPr>
    </w:p>
    <w:p>
      <w:pPr>
        <w:numPr>
          <w:ilvl w:val="0"/>
          <w:numId w:val="7"/>
        </w:numPr>
        <w:tabs>
          <w:tab w:val="left" w:pos="840"/>
        </w:tabs>
        <w:spacing w:after="0" w:line="240" w:lineRule="exact"/>
        <w:ind w:left="840" w:hanging="422"/>
        <w:rPr>
          <w:rFonts w:ascii="宋体" w:hAnsi="宋体" w:eastAsia="宋体" w:cs="宋体"/>
          <w:color w:val="auto"/>
          <w:sz w:val="21"/>
          <w:szCs w:val="21"/>
          <w:shd w:val="clear" w:color="auto" w:fill="auto"/>
        </w:rPr>
      </w:pPr>
      <w:r>
        <w:rPr>
          <w:rFonts w:ascii="宋体" w:hAnsi="宋体" w:eastAsia="宋体" w:cs="宋体"/>
          <w:color w:val="auto"/>
          <w:sz w:val="21"/>
          <w:szCs w:val="21"/>
          <w:shd w:val="clear" w:color="auto" w:fill="auto"/>
        </w:rPr>
        <w:t>梁权森.基于法治的现代大学治理结构分析[J].当代教育论坛，2010（10）：16.</w:t>
      </w:r>
    </w:p>
    <w:p>
      <w:pPr>
        <w:spacing w:after="0" w:line="122" w:lineRule="exact"/>
        <w:rPr>
          <w:color w:val="auto"/>
          <w:sz w:val="20"/>
          <w:szCs w:val="20"/>
          <w:shd w:val="clear" w:color="auto" w:fill="auto"/>
        </w:rPr>
      </w:pPr>
    </w:p>
    <w:p>
      <w:pPr>
        <w:spacing w:after="0" w:line="326" w:lineRule="exact"/>
        <w:ind w:left="4020"/>
        <w:rPr>
          <w:color w:val="auto"/>
          <w:sz w:val="20"/>
          <w:szCs w:val="20"/>
          <w:shd w:val="clear" w:color="auto" w:fill="auto"/>
        </w:rPr>
      </w:pPr>
      <w:r>
        <w:rPr>
          <w:rFonts w:ascii="宋体" w:hAnsi="宋体" w:eastAsia="宋体" w:cs="宋体"/>
          <w:b/>
          <w:bCs/>
          <w:color w:val="auto"/>
          <w:sz w:val="25"/>
          <w:szCs w:val="25"/>
          <w:shd w:val="clear" w:color="auto" w:fill="auto"/>
        </w:rPr>
        <w:t>（</w:t>
      </w:r>
      <w:r>
        <w:rPr>
          <w:rFonts w:ascii="新宋体" w:hAnsi="新宋体" w:eastAsia="新宋体" w:cs="新宋体"/>
          <w:color w:val="auto"/>
          <w:sz w:val="22"/>
          <w:szCs w:val="22"/>
          <w:shd w:val="clear" w:color="auto" w:fill="auto"/>
        </w:rPr>
        <w:t>本文摘自《复旦教育论坛》</w:t>
      </w:r>
      <w:r>
        <w:rPr>
          <w:rFonts w:ascii="Courier New" w:hAnsi="Courier New" w:eastAsia="Courier New" w:cs="Courier New"/>
          <w:color w:val="auto"/>
          <w:sz w:val="22"/>
          <w:szCs w:val="22"/>
          <w:shd w:val="clear" w:color="auto" w:fill="auto"/>
        </w:rPr>
        <w:t xml:space="preserve">2014 </w:t>
      </w:r>
      <w:r>
        <w:rPr>
          <w:rFonts w:ascii="新宋体" w:hAnsi="新宋体" w:eastAsia="新宋体" w:cs="新宋体"/>
          <w:color w:val="auto"/>
          <w:sz w:val="22"/>
          <w:szCs w:val="22"/>
          <w:shd w:val="clear" w:color="auto" w:fill="auto"/>
        </w:rPr>
        <w:t>年第</w:t>
      </w:r>
      <w:r>
        <w:rPr>
          <w:rFonts w:ascii="Courier New" w:hAnsi="Courier New" w:eastAsia="Courier New" w:cs="Courier New"/>
          <w:color w:val="auto"/>
          <w:sz w:val="22"/>
          <w:szCs w:val="22"/>
          <w:shd w:val="clear" w:color="auto" w:fill="auto"/>
        </w:rPr>
        <w:t xml:space="preserve"> 01 </w:t>
      </w:r>
      <w:r>
        <w:rPr>
          <w:rFonts w:ascii="新宋体" w:hAnsi="新宋体" w:eastAsia="新宋体" w:cs="新宋体"/>
          <w:color w:val="auto"/>
          <w:sz w:val="22"/>
          <w:szCs w:val="22"/>
          <w:shd w:val="clear" w:color="auto" w:fill="auto"/>
        </w:rPr>
        <w:t>期</w:t>
      </w:r>
      <w:r>
        <w:rPr>
          <w:rFonts w:ascii="宋体" w:hAnsi="宋体" w:eastAsia="宋体" w:cs="宋体"/>
          <w:b/>
          <w:bCs/>
          <w:color w:val="auto"/>
          <w:sz w:val="25"/>
          <w:szCs w:val="25"/>
          <w:shd w:val="clear" w:color="auto" w:fill="auto"/>
        </w:rPr>
        <w:t>）</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54"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33</w:t>
      </w:r>
    </w:p>
    <w:p>
      <w:pPr>
        <w:rPr>
          <w:shd w:val="clear" w:color="auto" w:fill="auto"/>
        </w:rPr>
        <w:sectPr>
          <w:pgSz w:w="11900" w:h="16840"/>
          <w:pgMar w:top="1440" w:right="1304" w:bottom="587" w:left="1420" w:header="0" w:footer="0" w:gutter="0"/>
          <w:cols w:equalWidth="0" w:num="1">
            <w:col w:w="9180"/>
          </w:cols>
        </w:sectPr>
      </w:pPr>
    </w:p>
    <w:p>
      <w:pPr>
        <w:spacing w:after="0" w:line="200" w:lineRule="exact"/>
        <w:rPr>
          <w:color w:val="auto"/>
          <w:sz w:val="20"/>
          <w:szCs w:val="20"/>
          <w:shd w:val="clear" w:color="auto" w:fill="auto"/>
        </w:rPr>
      </w:pPr>
      <w:bookmarkStart w:id="36" w:name="page36"/>
      <w:bookmarkEnd w:id="36"/>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1475105</wp:posOffset>
                </wp:positionH>
                <wp:positionV relativeFrom="page">
                  <wp:posOffset>1433830</wp:posOffset>
                </wp:positionV>
                <wp:extent cx="4749165" cy="416560"/>
                <wp:effectExtent l="0" t="0" r="13335" b="2540"/>
                <wp:wrapNone/>
                <wp:docPr id="11" name="Shape 11"/>
                <wp:cNvGraphicFramePr/>
                <a:graphic xmlns:a="http://schemas.openxmlformats.org/drawingml/2006/main">
                  <a:graphicData uri="http://schemas.microsoft.com/office/word/2010/wordprocessingShape">
                    <wps:wsp>
                      <wps:cNvSpPr/>
                      <wps:spPr>
                        <a:xfrm>
                          <a:off x="0" y="0"/>
                          <a:ext cx="4749165" cy="416560"/>
                        </a:xfrm>
                        <a:prstGeom prst="rect">
                          <a:avLst/>
                        </a:prstGeom>
                        <a:solidFill>
                          <a:srgbClr val="E5E5E5"/>
                        </a:solidFill>
                      </wps:spPr>
                      <wps:bodyPr/>
                    </wps:wsp>
                  </a:graphicData>
                </a:graphic>
              </wp:anchor>
            </w:drawing>
          </mc:Choice>
          <mc:Fallback>
            <w:pict>
              <v:rect id="Shape 11" o:spid="_x0000_s1026" o:spt="1" style="position:absolute;left:0pt;margin-left:116.15pt;margin-top:112.9pt;height:32.8pt;width:373.95pt;mso-position-horizontal-relative:page;mso-position-vertical-relative:page;z-index:-251658240;mso-width-relative:page;mso-height-relative:page;" fillcolor="#E5E5E5" filled="t" stroked="f" coordsize="21600,21600" o:allowincell="f" o:gfxdata="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M4o&#10;wEvbAAAACwEAAA8AAAAAAAAAAQAgAAAAIgAAAGRycy9kb3ducmV2LnhtbFBLAQIUABQAAAAIAIdO&#10;4kAD9ukSdQEAAO4CAAAOAAAAAAAAAAEAIAAAACoBAABkcnMvZTJvRG9jLnhtbFBLBQYAAAAABgAG&#10;AFkBAAARBQ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81" w:lineRule="exact"/>
        <w:rPr>
          <w:color w:val="auto"/>
          <w:sz w:val="20"/>
          <w:szCs w:val="20"/>
          <w:shd w:val="clear" w:color="auto" w:fill="auto"/>
        </w:rPr>
      </w:pPr>
    </w:p>
    <w:p>
      <w:pPr>
        <w:spacing w:after="0" w:line="502" w:lineRule="exact"/>
        <w:ind w:right="-99"/>
        <w:jc w:val="center"/>
        <w:rPr>
          <w:color w:val="auto"/>
          <w:sz w:val="20"/>
          <w:szCs w:val="20"/>
          <w:shd w:val="clear" w:color="auto" w:fill="auto"/>
        </w:rPr>
      </w:pPr>
      <w:r>
        <w:rPr>
          <w:rFonts w:ascii="宋体" w:hAnsi="宋体" w:eastAsia="宋体" w:cs="宋体"/>
          <w:color w:val="auto"/>
          <w:sz w:val="44"/>
          <w:szCs w:val="44"/>
          <w:shd w:val="clear" w:color="auto" w:fill="auto"/>
        </w:rPr>
        <w:t>现代大学制度、大学章程与大学治理</w:t>
      </w:r>
    </w:p>
    <w:p>
      <w:pPr>
        <w:spacing w:after="0" w:line="200" w:lineRule="exact"/>
        <w:rPr>
          <w:color w:val="auto"/>
          <w:sz w:val="20"/>
          <w:szCs w:val="20"/>
          <w:shd w:val="clear" w:color="auto" w:fill="auto"/>
        </w:rPr>
      </w:pPr>
    </w:p>
    <w:p>
      <w:pPr>
        <w:spacing w:after="0" w:line="291" w:lineRule="exact"/>
        <w:rPr>
          <w:color w:val="auto"/>
          <w:sz w:val="20"/>
          <w:szCs w:val="20"/>
          <w:shd w:val="clear" w:color="auto" w:fill="auto"/>
        </w:rPr>
      </w:pPr>
    </w:p>
    <w:p>
      <w:pPr>
        <w:spacing w:after="0" w:line="320" w:lineRule="exact"/>
        <w:ind w:right="120"/>
        <w:jc w:val="center"/>
        <w:rPr>
          <w:color w:val="auto"/>
          <w:sz w:val="20"/>
          <w:szCs w:val="20"/>
          <w:shd w:val="clear" w:color="auto" w:fill="auto"/>
        </w:rPr>
      </w:pPr>
      <w:r>
        <w:rPr>
          <w:rFonts w:ascii="新宋体" w:hAnsi="新宋体" w:eastAsia="新宋体" w:cs="新宋体"/>
          <w:b/>
          <w:bCs/>
          <w:color w:val="auto"/>
          <w:sz w:val="28"/>
          <w:szCs w:val="28"/>
          <w:shd w:val="clear" w:color="auto" w:fill="auto"/>
        </w:rPr>
        <w:t>袁本涛</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82" w:lineRule="exact"/>
        <w:rPr>
          <w:color w:val="auto"/>
          <w:sz w:val="20"/>
          <w:szCs w:val="20"/>
          <w:shd w:val="clear" w:color="auto" w:fill="auto"/>
        </w:rPr>
      </w:pPr>
    </w:p>
    <w:p>
      <w:pPr>
        <w:spacing w:after="0" w:line="377" w:lineRule="exact"/>
        <w:ind w:left="420" w:right="520"/>
        <w:jc w:val="both"/>
        <w:rPr>
          <w:color w:val="auto"/>
          <w:sz w:val="20"/>
          <w:szCs w:val="20"/>
          <w:shd w:val="clear" w:color="auto" w:fill="auto"/>
        </w:rPr>
      </w:pPr>
      <w:r>
        <w:rPr>
          <w:rFonts w:ascii="黑体" w:hAnsi="黑体" w:eastAsia="黑体" w:cs="黑体"/>
          <w:b/>
          <w:bCs/>
          <w:color w:val="auto"/>
          <w:sz w:val="24"/>
          <w:szCs w:val="24"/>
          <w:shd w:val="clear" w:color="auto" w:fill="auto"/>
        </w:rPr>
        <w:t>摘 要：</w:t>
      </w:r>
      <w:r>
        <w:rPr>
          <w:rFonts w:ascii="新宋体" w:hAnsi="新宋体" w:eastAsia="新宋体" w:cs="新宋体"/>
          <w:color w:val="auto"/>
          <w:sz w:val="24"/>
          <w:szCs w:val="24"/>
          <w:shd w:val="clear" w:color="auto" w:fill="auto"/>
        </w:rPr>
        <w:t>大学章程是大学自治和学术自由及其现代大学制度的法律保障，是处理大学内、外部关系的基本法律依据。大学章程的制定应该基于学术自由和学术自治的原则。大学章程的具体制订应该由举办者委托大学草拟，在经过内部讨论并取得一致意见的基础上，由法人代表签署后报举办者审批。其内容除了法定的绝对必须记载事项外，也应该明确记载部分相对必须记载的事项，以利于协调大学内、外部的关系。但大学章程能否发挥作用的关键还取决于治理环境。</w:t>
      </w:r>
    </w:p>
    <w:p>
      <w:pPr>
        <w:spacing w:after="0" w:line="130" w:lineRule="exact"/>
        <w:rPr>
          <w:color w:val="auto"/>
          <w:sz w:val="20"/>
          <w:szCs w:val="20"/>
          <w:shd w:val="clear" w:color="auto" w:fill="auto"/>
        </w:rPr>
      </w:pPr>
    </w:p>
    <w:p>
      <w:pPr>
        <w:tabs>
          <w:tab w:val="left" w:pos="3100"/>
          <w:tab w:val="left" w:pos="4300"/>
          <w:tab w:val="left" w:pos="5500"/>
          <w:tab w:val="left" w:pos="6700"/>
        </w:tabs>
        <w:spacing w:after="0" w:line="278"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关键词：</w:t>
      </w:r>
      <w:r>
        <w:rPr>
          <w:rFonts w:ascii="新宋体" w:hAnsi="新宋体" w:eastAsia="新宋体" w:cs="新宋体"/>
          <w:color w:val="auto"/>
          <w:sz w:val="24"/>
          <w:szCs w:val="24"/>
          <w:shd w:val="clear" w:color="auto" w:fill="auto"/>
        </w:rPr>
        <w:t>现代大学制度</w:t>
      </w:r>
      <w:r>
        <w:rPr>
          <w:color w:val="auto"/>
          <w:sz w:val="20"/>
          <w:szCs w:val="20"/>
          <w:shd w:val="clear" w:color="auto" w:fill="auto"/>
        </w:rPr>
        <w:tab/>
      </w:r>
      <w:r>
        <w:rPr>
          <w:rFonts w:ascii="新宋体" w:hAnsi="新宋体" w:eastAsia="新宋体" w:cs="新宋体"/>
          <w:color w:val="auto"/>
          <w:sz w:val="24"/>
          <w:szCs w:val="24"/>
          <w:shd w:val="clear" w:color="auto" w:fill="auto"/>
        </w:rPr>
        <w:t>大学治理</w:t>
      </w:r>
      <w:r>
        <w:rPr>
          <w:rFonts w:ascii="新宋体" w:hAnsi="新宋体" w:eastAsia="新宋体" w:cs="新宋体"/>
          <w:color w:val="auto"/>
          <w:sz w:val="24"/>
          <w:szCs w:val="24"/>
          <w:shd w:val="clear" w:color="auto" w:fill="auto"/>
        </w:rPr>
        <w:tab/>
      </w:r>
      <w:r>
        <w:rPr>
          <w:rFonts w:ascii="新宋体" w:hAnsi="新宋体" w:eastAsia="新宋体" w:cs="新宋体"/>
          <w:color w:val="auto"/>
          <w:sz w:val="24"/>
          <w:szCs w:val="24"/>
          <w:shd w:val="clear" w:color="auto" w:fill="auto"/>
        </w:rPr>
        <w:t>大学章程</w:t>
      </w:r>
      <w:r>
        <w:rPr>
          <w:rFonts w:ascii="新宋体" w:hAnsi="新宋体" w:eastAsia="新宋体" w:cs="新宋体"/>
          <w:color w:val="auto"/>
          <w:sz w:val="24"/>
          <w:szCs w:val="24"/>
          <w:shd w:val="clear" w:color="auto" w:fill="auto"/>
        </w:rPr>
        <w:tab/>
      </w:r>
      <w:r>
        <w:rPr>
          <w:rFonts w:ascii="新宋体" w:hAnsi="新宋体" w:eastAsia="新宋体" w:cs="新宋体"/>
          <w:color w:val="auto"/>
          <w:sz w:val="24"/>
          <w:szCs w:val="24"/>
          <w:shd w:val="clear" w:color="auto" w:fill="auto"/>
        </w:rPr>
        <w:t>学术自由</w:t>
      </w:r>
      <w:r>
        <w:rPr>
          <w:color w:val="auto"/>
          <w:sz w:val="20"/>
          <w:szCs w:val="20"/>
          <w:shd w:val="clear" w:color="auto" w:fill="auto"/>
        </w:rPr>
        <w:tab/>
      </w:r>
      <w:r>
        <w:rPr>
          <w:rFonts w:ascii="新宋体" w:hAnsi="新宋体" w:eastAsia="新宋体" w:cs="新宋体"/>
          <w:color w:val="auto"/>
          <w:sz w:val="23"/>
          <w:szCs w:val="23"/>
          <w:shd w:val="clear" w:color="auto" w:fill="auto"/>
        </w:rPr>
        <w:t>大学自治</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29" w:lineRule="exact"/>
        <w:rPr>
          <w:color w:val="auto"/>
          <w:sz w:val="20"/>
          <w:szCs w:val="20"/>
          <w:shd w:val="clear" w:color="auto" w:fill="auto"/>
        </w:rPr>
      </w:pPr>
    </w:p>
    <w:p>
      <w:pPr>
        <w:spacing w:after="0" w:line="415" w:lineRule="exact"/>
        <w:ind w:firstLine="432"/>
        <w:rPr>
          <w:color w:val="auto"/>
          <w:sz w:val="20"/>
          <w:szCs w:val="20"/>
          <w:shd w:val="clear" w:color="auto" w:fill="auto"/>
        </w:rPr>
      </w:pPr>
      <w:r>
        <w:rPr>
          <w:rFonts w:ascii="宋体" w:hAnsi="宋体" w:eastAsia="宋体" w:cs="宋体"/>
          <w:color w:val="auto"/>
          <w:sz w:val="24"/>
          <w:szCs w:val="24"/>
          <w:shd w:val="clear" w:color="auto" w:fill="auto"/>
        </w:rPr>
        <w:t>《国家中长期教育改革与发展规划纲要》 第十三章“建设现代学校制度”明确指出：要完善中国特色的现代大学制度，并把大学章程建设列为完善中国特色现代大学制度建设的重要一环。毫无疑问，大学章程建设已经成为中国大学治理的当务之急。因为我国的高等学校，大多已经发展成为巨型的复杂系统，其内部组织庞杂，结构功能多元，内外关系繁复。这一复杂的超级系统是在我国从计划经济体制向市场经济体制转轨的过程中，通过一系列强制的政策变迁急剧形成的，其治理机制就不可避免地出现了既具有浓厚的市场取向，又带有强烈的行政色彩的双重性。这种双重性导致在高校治理中，市场的趋利性、竞争性和行政的官僚性、低效性弊端并存。</w:t>
      </w:r>
    </w:p>
    <w:p>
      <w:pPr>
        <w:spacing w:after="0" w:line="207" w:lineRule="exact"/>
        <w:rPr>
          <w:color w:val="auto"/>
          <w:sz w:val="20"/>
          <w:szCs w:val="20"/>
          <w:shd w:val="clear" w:color="auto" w:fill="auto"/>
        </w:rPr>
      </w:pPr>
    </w:p>
    <w:p>
      <w:pPr>
        <w:spacing w:after="0" w:line="407" w:lineRule="exact"/>
        <w:ind w:firstLine="432"/>
        <w:rPr>
          <w:color w:val="auto"/>
          <w:sz w:val="20"/>
          <w:szCs w:val="20"/>
          <w:shd w:val="clear" w:color="auto" w:fill="auto"/>
        </w:rPr>
      </w:pPr>
      <w:r>
        <w:rPr>
          <w:rFonts w:ascii="宋体" w:hAnsi="宋体" w:eastAsia="宋体" w:cs="宋体"/>
          <w:color w:val="auto"/>
          <w:sz w:val="24"/>
          <w:szCs w:val="24"/>
          <w:shd w:val="clear" w:color="auto" w:fill="auto"/>
        </w:rPr>
        <w:t>在这一背景下，学界关于现代大学制度的建设以及高校去行政化问题的讨论越来越成为社会关注的焦点。其中，制定大学章程、依法治理高校也就相应地被提到议事日程。但笔者以为，问题的关键还应该从现代大学制度以及现代大学的理念说起，只有弄清楚现代大学制度和现代大学制度的基本理念内涵后，才能从根本上理解大学章程制定的必要性以及大学章程应有的基本内容。因此，本文拟从现代大学制度和大学理念出发，就大学章程与大学治理的问题进行探讨。</w:t>
      </w:r>
    </w:p>
    <w:p>
      <w:pPr>
        <w:spacing w:after="0" w:line="172" w:lineRule="exact"/>
        <w:rPr>
          <w:color w:val="auto"/>
          <w:sz w:val="20"/>
          <w:szCs w:val="20"/>
          <w:shd w:val="clear" w:color="auto" w:fill="auto"/>
        </w:rPr>
      </w:pPr>
    </w:p>
    <w:p>
      <w:pPr>
        <w:spacing w:after="0" w:line="274" w:lineRule="exact"/>
        <w:ind w:left="440"/>
        <w:rPr>
          <w:color w:val="auto"/>
          <w:sz w:val="20"/>
          <w:szCs w:val="20"/>
          <w:shd w:val="clear" w:color="auto" w:fill="auto"/>
        </w:rPr>
      </w:pPr>
      <w:r>
        <w:rPr>
          <w:rFonts w:ascii="黑体" w:hAnsi="黑体" w:eastAsia="黑体" w:cs="黑体"/>
          <w:b/>
          <w:bCs/>
          <w:color w:val="auto"/>
          <w:sz w:val="24"/>
          <w:szCs w:val="24"/>
          <w:shd w:val="clear" w:color="auto" w:fill="auto"/>
        </w:rPr>
        <w:t>治理视角的现代大学制度及其基本理念</w:t>
      </w:r>
    </w:p>
    <w:p>
      <w:pPr>
        <w:spacing w:after="0" w:line="165" w:lineRule="exact"/>
        <w:rPr>
          <w:color w:val="auto"/>
          <w:sz w:val="20"/>
          <w:szCs w:val="20"/>
          <w:shd w:val="clear" w:color="auto" w:fill="auto"/>
        </w:rPr>
      </w:pPr>
    </w:p>
    <w:p>
      <w:pPr>
        <w:spacing w:after="0" w:line="274" w:lineRule="exact"/>
        <w:ind w:left="440"/>
        <w:rPr>
          <w:color w:val="auto"/>
          <w:sz w:val="20"/>
          <w:szCs w:val="20"/>
          <w:shd w:val="clear" w:color="auto" w:fill="auto"/>
        </w:rPr>
      </w:pPr>
      <w:r>
        <w:rPr>
          <w:rFonts w:ascii="宋体" w:hAnsi="宋体" w:eastAsia="宋体" w:cs="宋体"/>
          <w:color w:val="auto"/>
          <w:sz w:val="24"/>
          <w:szCs w:val="24"/>
          <w:shd w:val="clear" w:color="auto" w:fill="auto"/>
        </w:rPr>
        <w:t>“完善中国特色现代大学制度”作为中国大学治理改革的核心内容之一，其基本内</w:t>
      </w:r>
    </w:p>
    <w:p>
      <w:pPr>
        <w:spacing w:after="0" w:line="200" w:lineRule="exact"/>
        <w:rPr>
          <w:color w:val="auto"/>
          <w:sz w:val="20"/>
          <w:szCs w:val="20"/>
          <w:shd w:val="clear" w:color="auto" w:fill="auto"/>
        </w:rPr>
      </w:pPr>
    </w:p>
    <w:p>
      <w:pPr>
        <w:spacing w:after="0" w:line="354"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34</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37" w:name="page37"/>
      <w:bookmarkEnd w:id="37"/>
    </w:p>
    <w:p>
      <w:pPr>
        <w:spacing w:after="0" w:line="389" w:lineRule="exact"/>
        <w:ind w:right="60"/>
        <w:jc w:val="both"/>
        <w:rPr>
          <w:color w:val="auto"/>
          <w:sz w:val="20"/>
          <w:szCs w:val="20"/>
          <w:shd w:val="clear" w:color="auto" w:fill="auto"/>
        </w:rPr>
      </w:pPr>
      <w:r>
        <w:rPr>
          <w:rFonts w:ascii="宋体" w:hAnsi="宋体" w:eastAsia="宋体" w:cs="宋体"/>
          <w:color w:val="auto"/>
          <w:sz w:val="24"/>
          <w:szCs w:val="24"/>
          <w:shd w:val="clear" w:color="auto" w:fill="auto"/>
        </w:rPr>
        <w:t>涵是什么？这大概是很多管理者比较困惑的一个棘手问题。但这个问题必须解决，如果其内涵不清，就根本谈不上完善中国特色的现代大学制度了。其实，中外学者已经对现代大学制度进行了大量论述。这里我们无意探讨什么是现代大学制度及其理念的问题，但可以简单地从大学治理的视角梳理现代大学制度及其理念的历史变迁。</w:t>
      </w:r>
    </w:p>
    <w:p>
      <w:pPr>
        <w:spacing w:after="0" w:line="203" w:lineRule="exact"/>
        <w:rPr>
          <w:color w:val="auto"/>
          <w:sz w:val="20"/>
          <w:szCs w:val="20"/>
          <w:shd w:val="clear" w:color="auto" w:fill="auto"/>
        </w:rPr>
      </w:pPr>
    </w:p>
    <w:p>
      <w:pPr>
        <w:spacing w:after="0" w:line="420" w:lineRule="exact"/>
        <w:ind w:firstLine="480"/>
        <w:rPr>
          <w:color w:val="auto"/>
          <w:sz w:val="20"/>
          <w:szCs w:val="20"/>
          <w:shd w:val="clear" w:color="auto" w:fill="auto"/>
        </w:rPr>
      </w:pPr>
      <w:r>
        <w:rPr>
          <w:rFonts w:ascii="宋体" w:hAnsi="宋体" w:eastAsia="宋体" w:cs="宋体"/>
          <w:color w:val="auto"/>
          <w:sz w:val="24"/>
          <w:szCs w:val="24"/>
          <w:shd w:val="clear" w:color="auto" w:fill="auto"/>
        </w:rPr>
        <w:t>众所周知，现代大学是中世纪巴黎大学和波洛尼亚大学的遗产，也就是说今天有组织的高等教育，包括教员、学院、课程、考试、毕业典礼以及学位组成的教育体系均是中世纪大学的产物。但中世纪的大学又明显不同于今天的大学，因为中世纪的大学是“由人组成的”，它没有董事会，不出版任何学校情况介绍；它也没有任何学生的社团组织——除非说大学本质上就是一个学生的社团，没有校园新闻，没有戏剧表演，没有体育，没有任何现在美国大学中一切作为校内活动的替代品的那些“校外活动”。</w:t>
      </w:r>
      <w:r>
        <w:rPr>
          <w:rFonts w:ascii="宋体" w:hAnsi="宋体" w:eastAsia="宋体" w:cs="宋体"/>
          <w:color w:val="auto"/>
          <w:sz w:val="24"/>
          <w:szCs w:val="24"/>
          <w:shd w:val="clear" w:color="auto" w:fill="auto"/>
          <w:vertAlign w:val="superscript"/>
        </w:rPr>
        <w:t>［ 1］</w:t>
      </w:r>
      <w:r>
        <w:rPr>
          <w:rFonts w:ascii="宋体" w:hAnsi="宋体" w:eastAsia="宋体" w:cs="宋体"/>
          <w:color w:val="auto"/>
          <w:sz w:val="24"/>
          <w:szCs w:val="24"/>
          <w:shd w:val="clear" w:color="auto" w:fill="auto"/>
        </w:rPr>
        <w:t>可见，中世纪的大学是一个由一批执着于学术事务的教师和学生组成的具有高度自治权利的学术社团。大学虽然是自治的社团，但并不是说它可以不受任何约束，实际上在中世纪，宗教权利和世俗权利均对大学产生了重要影响。那么这种学术社团的治理结构是怎样的呢？我们以德国中世纪大学为例来说明这一问题。</w:t>
      </w:r>
    </w:p>
    <w:p>
      <w:pPr>
        <w:spacing w:after="0" w:line="203" w:lineRule="exact"/>
        <w:rPr>
          <w:color w:val="auto"/>
          <w:sz w:val="20"/>
          <w:szCs w:val="20"/>
          <w:shd w:val="clear" w:color="auto" w:fill="auto"/>
        </w:rPr>
      </w:pPr>
    </w:p>
    <w:p>
      <w:pPr>
        <w:spacing w:after="0" w:line="424" w:lineRule="exact"/>
        <w:ind w:firstLine="480"/>
        <w:rPr>
          <w:color w:val="auto"/>
          <w:sz w:val="20"/>
          <w:szCs w:val="20"/>
          <w:shd w:val="clear" w:color="auto" w:fill="auto"/>
        </w:rPr>
      </w:pPr>
      <w:r>
        <w:rPr>
          <w:rFonts w:ascii="宋体" w:hAnsi="宋体" w:eastAsia="宋体" w:cs="宋体"/>
          <w:color w:val="auto"/>
          <w:sz w:val="24"/>
          <w:szCs w:val="24"/>
          <w:shd w:val="clear" w:color="auto" w:fill="auto"/>
        </w:rPr>
        <w:t>尽管德国的大学的出现要晚于意大利、法国甚至英国，但它一样继承了早期中世纪大学制度的基本特点并传承给了现代大学——世界各地现代大学制度的建立基本上是以德国的现代大学制度为模型发展起来的。因此，以德国中世纪大学的治理特征为例有利于对现代大学制度特点的说明。中世纪的德国大学是效仿巴黎大学而创办的。在中世纪的德国，大学是教师的社团并接受教会的控制，但多由地方政府举办，并处于其管理之下，如 14 世纪的布拉格、维也纳、海德堡大学， 15 世纪的莱比锡、弗莱堡等大学都是由各邦国举办的，德国中世纪大学的模式一直沿袭到 19 世纪初德国大学改革运动时期。但“德国大学沿袭了欧洲早期中世纪大学的组织特征，包括他们拥有的社团权利。也就是说，中世纪的德国大学一样拥有众多的特权：教学权，即学士、硕士、博士等学位的考试权与授予权；自行规定大学章程和规则的自治权；司法上的独立审判权、罢课权与自由迁徙权等。这些社团权利一般是大学成员自己申请，教会、国家及自治城市所赋予的。通常，大学的教授权、考试权与学位授予权由教会，特别是罗马教皇授予；而</w:t>
      </w:r>
    </w:p>
    <w:p>
      <w:pPr>
        <w:spacing w:after="0" w:line="185" w:lineRule="exact"/>
        <w:rPr>
          <w:color w:val="auto"/>
          <w:sz w:val="20"/>
          <w:szCs w:val="20"/>
          <w:shd w:val="clear" w:color="auto" w:fill="auto"/>
        </w:rPr>
      </w:pPr>
    </w:p>
    <w:p>
      <w:pPr>
        <w:spacing w:after="0" w:line="349" w:lineRule="exact"/>
        <w:rPr>
          <w:color w:val="auto"/>
          <w:sz w:val="20"/>
          <w:szCs w:val="20"/>
          <w:shd w:val="clear" w:color="auto" w:fill="auto"/>
        </w:rPr>
      </w:pPr>
      <w:r>
        <w:rPr>
          <w:rFonts w:ascii="宋体" w:hAnsi="宋体" w:eastAsia="宋体" w:cs="宋体"/>
          <w:color w:val="auto"/>
          <w:sz w:val="23"/>
          <w:szCs w:val="23"/>
          <w:shd w:val="clear" w:color="auto" w:fill="auto"/>
        </w:rPr>
        <w:t>自治权、独立审判权、义务及捐款的豁免权则由世俗君主或市政当局授予”</w:t>
      </w:r>
      <w:r>
        <w:rPr>
          <w:rFonts w:ascii="宋体" w:hAnsi="宋体" w:eastAsia="宋体" w:cs="宋体"/>
          <w:color w:val="auto"/>
          <w:sz w:val="23"/>
          <w:szCs w:val="23"/>
          <w:shd w:val="clear" w:color="auto" w:fill="auto"/>
          <w:vertAlign w:val="superscript"/>
        </w:rPr>
        <w:t>［2］</w:t>
      </w:r>
      <w:r>
        <w:rPr>
          <w:rFonts w:ascii="宋体" w:hAnsi="宋体" w:eastAsia="宋体" w:cs="宋体"/>
          <w:color w:val="auto"/>
          <w:sz w:val="23"/>
          <w:szCs w:val="23"/>
          <w:shd w:val="clear" w:color="auto" w:fill="auto"/>
        </w:rPr>
        <w:t>。由此，可以看出，中世纪的大学制度从治理的视角来看，其核心特征可以概括为：自治与自由，</w:t>
      </w:r>
    </w:p>
    <w:p>
      <w:pPr>
        <w:spacing w:after="0" w:line="182" w:lineRule="exact"/>
        <w:rPr>
          <w:color w:val="auto"/>
          <w:sz w:val="20"/>
          <w:szCs w:val="20"/>
          <w:shd w:val="clear" w:color="auto" w:fill="auto"/>
        </w:rPr>
      </w:pPr>
    </w:p>
    <w:p>
      <w:pPr>
        <w:spacing w:after="0" w:line="348" w:lineRule="exact"/>
        <w:ind w:right="120"/>
        <w:rPr>
          <w:color w:val="auto"/>
          <w:sz w:val="20"/>
          <w:szCs w:val="20"/>
          <w:shd w:val="clear" w:color="auto" w:fill="auto"/>
        </w:rPr>
      </w:pPr>
      <w:r>
        <w:rPr>
          <w:rFonts w:ascii="宋体" w:hAnsi="宋体" w:eastAsia="宋体" w:cs="宋体"/>
          <w:color w:val="auto"/>
          <w:sz w:val="24"/>
          <w:szCs w:val="24"/>
          <w:shd w:val="clear" w:color="auto" w:fill="auto"/>
        </w:rPr>
        <w:t>就是“教会和君主授予特权的师生独立团体”</w:t>
      </w:r>
      <w:r>
        <w:rPr>
          <w:rFonts w:ascii="宋体" w:hAnsi="宋体" w:eastAsia="宋体" w:cs="宋体"/>
          <w:color w:val="auto"/>
          <w:sz w:val="24"/>
          <w:szCs w:val="24"/>
          <w:shd w:val="clear" w:color="auto" w:fill="auto"/>
          <w:vertAlign w:val="superscript"/>
        </w:rPr>
        <w:t>［3］</w:t>
      </w:r>
      <w:r>
        <w:rPr>
          <w:rFonts w:ascii="宋体" w:hAnsi="宋体" w:eastAsia="宋体" w:cs="宋体"/>
          <w:color w:val="auto"/>
          <w:sz w:val="24"/>
          <w:szCs w:val="24"/>
          <w:shd w:val="clear" w:color="auto" w:fill="auto"/>
        </w:rPr>
        <w:t>。尽管如此，此时的大学依旧较多地受到教会和君主权力的约束。</w:t>
      </w:r>
    </w:p>
    <w:p>
      <w:pPr>
        <w:spacing w:after="0" w:line="168"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现代大学制度虽然继承了中世纪大学的制度特征，但又不等同于中世纪的大学，其</w:t>
      </w:r>
    </w:p>
    <w:p>
      <w:pPr>
        <w:spacing w:after="0" w:line="200" w:lineRule="exact"/>
        <w:rPr>
          <w:color w:val="auto"/>
          <w:sz w:val="20"/>
          <w:szCs w:val="20"/>
          <w:shd w:val="clear" w:color="auto" w:fill="auto"/>
        </w:rPr>
      </w:pPr>
    </w:p>
    <w:p>
      <w:pPr>
        <w:spacing w:after="0" w:line="277"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35</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38" w:name="page38"/>
      <w:bookmarkEnd w:id="38"/>
    </w:p>
    <w:p>
      <w:pPr>
        <w:spacing w:after="0" w:line="415" w:lineRule="exact"/>
        <w:ind w:right="100"/>
        <w:jc w:val="both"/>
        <w:rPr>
          <w:color w:val="auto"/>
          <w:sz w:val="20"/>
          <w:szCs w:val="20"/>
          <w:shd w:val="clear" w:color="auto" w:fill="auto"/>
        </w:rPr>
      </w:pPr>
      <w:r>
        <w:rPr>
          <w:rFonts w:ascii="宋体" w:hAnsi="宋体" w:eastAsia="宋体" w:cs="宋体"/>
          <w:color w:val="auto"/>
          <w:sz w:val="23"/>
          <w:szCs w:val="23"/>
          <w:shd w:val="clear" w:color="auto" w:fill="auto"/>
        </w:rPr>
        <w:t>中最重要的“学术自由”的思想已经成为大学的一种自觉追求。这某种程度上拜因于威廉·冯·洪堡和柏林大学。在德国，学术自由的思想是根深蒂固的，众所周知，在欧洲高等教育史上，被誉为德国甚至整个欧洲“第一所具有现代意义的大学”的哈勒大学就是秉持“自由哲学”和“研究自由、教学自由”的原则而建立的。仿效哈勒大学而建立的哥廷根大学更是坚持思想宽容和研究自由的原则，反对教派斗争，规定教授们具有不受检查自行选择教学内容和开设课程的教学自由权利。1873 年，哲学院颁布的章程中就规定：“所有教授，只要不涉及损害宗教、国家和道德的学说，都应该享有教学和思想自由这种责任攸关的权利；关于课程中使用的教材及讨论的各家学说，应该由他们自</w:t>
      </w:r>
    </w:p>
    <w:p>
      <w:pPr>
        <w:spacing w:after="0" w:line="188"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 xml:space="preserve">己决定。” </w:t>
      </w:r>
      <w:r>
        <w:rPr>
          <w:rFonts w:ascii="宋体" w:hAnsi="宋体" w:eastAsia="宋体" w:cs="宋体"/>
          <w:color w:val="auto"/>
          <w:sz w:val="24"/>
          <w:szCs w:val="24"/>
          <w:shd w:val="clear" w:color="auto" w:fill="auto"/>
          <w:vertAlign w:val="superscript"/>
        </w:rPr>
        <w:t>［4］</w:t>
      </w:r>
    </w:p>
    <w:p>
      <w:pPr>
        <w:spacing w:after="0" w:line="184" w:lineRule="exact"/>
        <w:rPr>
          <w:color w:val="auto"/>
          <w:sz w:val="20"/>
          <w:szCs w:val="20"/>
          <w:shd w:val="clear" w:color="auto" w:fill="auto"/>
        </w:rPr>
      </w:pPr>
    </w:p>
    <w:p>
      <w:pPr>
        <w:spacing w:after="0" w:line="420" w:lineRule="exact"/>
        <w:ind w:firstLine="480"/>
        <w:rPr>
          <w:color w:val="auto"/>
          <w:sz w:val="20"/>
          <w:szCs w:val="20"/>
          <w:shd w:val="clear" w:color="auto" w:fill="auto"/>
        </w:rPr>
      </w:pPr>
      <w:r>
        <w:rPr>
          <w:rFonts w:ascii="宋体" w:hAnsi="宋体" w:eastAsia="宋体" w:cs="宋体"/>
          <w:color w:val="auto"/>
          <w:sz w:val="24"/>
          <w:szCs w:val="24"/>
          <w:shd w:val="clear" w:color="auto" w:fill="auto"/>
        </w:rPr>
        <w:t>这种学术自由、教学自由的思想极大地影响了洪堡的大学理念。在洪堡看来，自由是个人潜能发展的必要条件，国家干涉会抑制人的潜能发展，国家唯一的职能是提供对外安全和国内安全。基于这样一种理念，洪堡认为“柏林大学的主要组织原则是自由和独立，而不是一致和服从；教授不是接受政府审查而从事教学工作的政府官员，而是独立的学者。教师的教学只服从教学自由和学习自由的目的，而不是按照既定的标准”。因此，国家不应该也无权干涉大学，不应为了眼前的利益而要求大学服从于国家的利益，从长远来讲，一个自由的大学与国家长远的利益是一致的。因此，他指出：国家应该抱定这样的信念，“大学倘若实现其目标，同时也就实现了而且是在更高层次上实现了国家的目标。由此而来的收效之大和影响之广，远非国家之力所及”</w:t>
      </w:r>
      <w:r>
        <w:rPr>
          <w:rFonts w:ascii="宋体" w:hAnsi="宋体" w:eastAsia="宋体" w:cs="宋体"/>
          <w:color w:val="auto"/>
          <w:sz w:val="24"/>
          <w:szCs w:val="24"/>
          <w:shd w:val="clear" w:color="auto" w:fill="auto"/>
          <w:vertAlign w:val="superscript"/>
        </w:rPr>
        <w:t>［5］</w:t>
      </w:r>
      <w:r>
        <w:rPr>
          <w:rFonts w:ascii="宋体" w:hAnsi="宋体" w:eastAsia="宋体" w:cs="宋体"/>
          <w:color w:val="auto"/>
          <w:sz w:val="24"/>
          <w:szCs w:val="24"/>
          <w:shd w:val="clear" w:color="auto" w:fill="auto"/>
        </w:rPr>
        <w:t>。进而坚持大学自治、学术自由、教学与科研同一的原则成为柏林大学的基本治校理念和原则。</w:t>
      </w:r>
    </w:p>
    <w:p>
      <w:pPr>
        <w:spacing w:after="0" w:line="202" w:lineRule="exact"/>
        <w:rPr>
          <w:color w:val="auto"/>
          <w:sz w:val="20"/>
          <w:szCs w:val="20"/>
          <w:shd w:val="clear" w:color="auto" w:fill="auto"/>
        </w:rPr>
      </w:pPr>
    </w:p>
    <w:p>
      <w:pPr>
        <w:spacing w:after="0" w:line="407" w:lineRule="exact"/>
        <w:ind w:right="100" w:firstLine="480"/>
        <w:jc w:val="both"/>
        <w:rPr>
          <w:color w:val="auto"/>
          <w:sz w:val="20"/>
          <w:szCs w:val="20"/>
          <w:shd w:val="clear" w:color="auto" w:fill="auto"/>
        </w:rPr>
      </w:pPr>
      <w:r>
        <w:rPr>
          <w:rFonts w:ascii="宋体" w:hAnsi="宋体" w:eastAsia="宋体" w:cs="宋体"/>
          <w:color w:val="auto"/>
          <w:sz w:val="23"/>
          <w:szCs w:val="23"/>
          <w:shd w:val="clear" w:color="auto" w:fill="auto"/>
        </w:rPr>
        <w:t>可以看出，哈勒大学、哥廷根大学及至柏林大学，学术自由、大学自治已经越来越成为大学的一种自觉追求，并日益合法化。正是这一治校理念，通过一批批留德学生传播到了美国、日本、中国等世界各地的大学，进而逐步形成了所谓的全球性的现代大学制度。这一制度尤其在美国得以发扬光大，正如 1915 年，美国大学教授协会的原则申明指出的那样： “如果大学没有全面接受和贯彻落实学术自由的原则，那么大学就不能履行她的三大功能。从总体上看，大学是为社会而存在，任何限制大学教师自由的行</w:t>
      </w:r>
    </w:p>
    <w:p>
      <w:pPr>
        <w:spacing w:after="0" w:line="183" w:lineRule="exact"/>
        <w:rPr>
          <w:color w:val="auto"/>
          <w:sz w:val="20"/>
          <w:szCs w:val="20"/>
          <w:shd w:val="clear" w:color="auto" w:fill="auto"/>
        </w:rPr>
      </w:pPr>
    </w:p>
    <w:p>
      <w:pPr>
        <w:spacing w:after="0" w:line="409" w:lineRule="exact"/>
        <w:ind w:right="60"/>
        <w:jc w:val="both"/>
        <w:rPr>
          <w:color w:val="auto"/>
          <w:sz w:val="20"/>
          <w:szCs w:val="20"/>
          <w:shd w:val="clear" w:color="auto" w:fill="auto"/>
        </w:rPr>
      </w:pPr>
      <w:r>
        <w:rPr>
          <w:rFonts w:ascii="宋体" w:hAnsi="宋体" w:eastAsia="宋体" w:cs="宋体"/>
          <w:color w:val="auto"/>
          <w:sz w:val="23"/>
          <w:szCs w:val="23"/>
          <w:shd w:val="clear" w:color="auto" w:fill="auto"/>
        </w:rPr>
        <w:t>为都将影响大学的效率，破坏大学的精神，最终将损害社会利益。”</w:t>
      </w:r>
      <w:r>
        <w:rPr>
          <w:rFonts w:ascii="宋体" w:hAnsi="宋体" w:eastAsia="宋体" w:cs="宋体"/>
          <w:color w:val="auto"/>
          <w:sz w:val="23"/>
          <w:szCs w:val="23"/>
          <w:shd w:val="clear" w:color="auto" w:fill="auto"/>
          <w:vertAlign w:val="superscript"/>
        </w:rPr>
        <w:t>［6］</w:t>
      </w:r>
      <w:r>
        <w:rPr>
          <w:rFonts w:ascii="宋体" w:hAnsi="宋体" w:eastAsia="宋体" w:cs="宋体"/>
          <w:color w:val="auto"/>
          <w:sz w:val="23"/>
          <w:szCs w:val="23"/>
          <w:shd w:val="clear" w:color="auto" w:fill="auto"/>
        </w:rPr>
        <w:t xml:space="preserve"> 中国则经过蔡元培等著名教育家把学术自由、学术自治的思想贯彻到了办学的实践之中，1917 年，蔡元培任北大校长后，循“兼容并包”的思想，一举奠定了学术自由、思想自由和教学自由的原则，正因为有了这一套现代大学制度的保障，很快开创了中国高等教育的新局面，“从整体上说，中国现代大学从建立到初具规模，其中特别优秀的像清华、北大、中央大学等，可以说只用了大约 10 年时间，就已经成为世界著名大学”，其“关键是大学</w:t>
      </w:r>
    </w:p>
    <w:p>
      <w:pPr>
        <w:spacing w:after="0" w:line="200" w:lineRule="exact"/>
        <w:rPr>
          <w:color w:val="auto"/>
          <w:sz w:val="20"/>
          <w:szCs w:val="20"/>
          <w:shd w:val="clear" w:color="auto" w:fill="auto"/>
        </w:rPr>
      </w:pPr>
    </w:p>
    <w:p>
      <w:pPr>
        <w:spacing w:after="0" w:line="28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36</w:t>
      </w:r>
    </w:p>
    <w:p>
      <w:pPr>
        <w:rPr>
          <w:shd w:val="clear" w:color="auto" w:fill="auto"/>
        </w:rPr>
        <w:sectPr>
          <w:pgSz w:w="11900" w:h="16840"/>
          <w:pgMar w:top="1440" w:right="1304" w:bottom="587" w:left="1420" w:header="0" w:footer="0" w:gutter="0"/>
          <w:cols w:equalWidth="0" w:num="1">
            <w:col w:w="9180"/>
          </w:cols>
        </w:sectPr>
      </w:pPr>
    </w:p>
    <w:p>
      <w:pPr>
        <w:spacing w:after="0" w:line="107" w:lineRule="exact"/>
        <w:rPr>
          <w:color w:val="auto"/>
          <w:sz w:val="20"/>
          <w:szCs w:val="20"/>
          <w:shd w:val="clear" w:color="auto" w:fill="auto"/>
        </w:rPr>
      </w:pPr>
      <w:bookmarkStart w:id="39" w:name="page39"/>
      <w:bookmarkEnd w:id="39"/>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的制度设计”</w:t>
      </w:r>
      <w:r>
        <w:rPr>
          <w:rFonts w:ascii="宋体" w:hAnsi="宋体" w:eastAsia="宋体" w:cs="宋体"/>
          <w:color w:val="auto"/>
          <w:sz w:val="24"/>
          <w:szCs w:val="24"/>
          <w:shd w:val="clear" w:color="auto" w:fill="auto"/>
          <w:vertAlign w:val="superscript"/>
        </w:rPr>
        <w:t>［7］</w:t>
      </w:r>
      <w:r>
        <w:rPr>
          <w:rFonts w:ascii="宋体" w:hAnsi="宋体" w:eastAsia="宋体" w:cs="宋体"/>
          <w:color w:val="auto"/>
          <w:sz w:val="24"/>
          <w:szCs w:val="24"/>
          <w:shd w:val="clear" w:color="auto" w:fill="auto"/>
        </w:rPr>
        <w:t>。</w:t>
      </w:r>
    </w:p>
    <w:p>
      <w:pPr>
        <w:spacing w:after="0" w:line="120"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大学章程制定：现代大学制度建设及大学治理日趋复杂的回应</w:t>
      </w:r>
    </w:p>
    <w:p>
      <w:pPr>
        <w:spacing w:after="0" w:line="257" w:lineRule="exact"/>
        <w:rPr>
          <w:color w:val="auto"/>
          <w:sz w:val="20"/>
          <w:szCs w:val="20"/>
          <w:shd w:val="clear" w:color="auto" w:fill="auto"/>
        </w:rPr>
      </w:pPr>
    </w:p>
    <w:p>
      <w:pPr>
        <w:spacing w:after="0" w:line="390"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如上文指出，现代大学制度从治理的视角来看，其核心和根本就是大学自治与学术自由。因此，这就涉及到如何处理大学与政府、大学与社会、大学内部学术权利与行政权利的关系问题。伯顿· R·克拉克曾经指出：学术系统如何分配权力和使权力合法化，这可能是最重要的方面，他引用阿什比的话说，“大学兴旺与否取决于其内部由谁控制”</w:t>
      </w:r>
    </w:p>
    <w:p>
      <w:pPr>
        <w:spacing w:after="0" w:line="187" w:lineRule="exact"/>
        <w:rPr>
          <w:color w:val="auto"/>
          <w:sz w:val="20"/>
          <w:szCs w:val="20"/>
          <w:shd w:val="clear" w:color="auto" w:fill="auto"/>
        </w:rPr>
      </w:pPr>
    </w:p>
    <w:p>
      <w:pPr>
        <w:spacing w:after="0" w:line="404" w:lineRule="exact"/>
        <w:ind w:right="60"/>
        <w:jc w:val="both"/>
        <w:rPr>
          <w:color w:val="auto"/>
          <w:sz w:val="20"/>
          <w:szCs w:val="20"/>
          <w:shd w:val="clear" w:color="auto" w:fill="auto"/>
        </w:rPr>
      </w:pPr>
      <w:r>
        <w:rPr>
          <w:rFonts w:ascii="宋体" w:hAnsi="宋体" w:eastAsia="宋体" w:cs="宋体"/>
          <w:color w:val="auto"/>
          <w:sz w:val="23"/>
          <w:szCs w:val="23"/>
          <w:shd w:val="clear" w:color="auto" w:fill="auto"/>
          <w:vertAlign w:val="superscript"/>
        </w:rPr>
        <w:t>［8］</w:t>
      </w:r>
      <w:r>
        <w:rPr>
          <w:rFonts w:ascii="宋体" w:hAnsi="宋体" w:eastAsia="宋体" w:cs="宋体"/>
          <w:color w:val="auto"/>
          <w:sz w:val="23"/>
          <w:szCs w:val="23"/>
          <w:shd w:val="clear" w:color="auto" w:fill="auto"/>
        </w:rPr>
        <w:t>。那么，大学与外部的权利关系也好，内部的权利关系也罢，依靠什么来处理呢？我们认为最根本的就是保障大学的独立法人地位，依照大学自治和学术自由的原则来制定大学宪章，进而依照大学章程来治理大学。也就是说，大学章程的基本性质是大学治理的基本法律依据，是大学自治的基础法规，是“举办者与办学者在法律约束下的契约，是办学者对举办者的一种行为承诺与法律保证，也是举办者对办学者行使监督、进行诉</w:t>
      </w:r>
    </w:p>
    <w:p>
      <w:pPr>
        <w:spacing w:after="0" w:line="183" w:lineRule="exact"/>
        <w:rPr>
          <w:color w:val="auto"/>
          <w:sz w:val="20"/>
          <w:szCs w:val="20"/>
          <w:shd w:val="clear" w:color="auto" w:fill="auto"/>
        </w:rPr>
      </w:pPr>
    </w:p>
    <w:p>
      <w:pPr>
        <w:spacing w:after="0" w:line="379" w:lineRule="exact"/>
        <w:rPr>
          <w:color w:val="auto"/>
          <w:sz w:val="20"/>
          <w:szCs w:val="20"/>
          <w:shd w:val="clear" w:color="auto" w:fill="auto"/>
        </w:rPr>
      </w:pPr>
      <w:r>
        <w:rPr>
          <w:rFonts w:ascii="宋体" w:hAnsi="宋体" w:eastAsia="宋体" w:cs="宋体"/>
          <w:color w:val="auto"/>
          <w:sz w:val="24"/>
          <w:szCs w:val="24"/>
          <w:shd w:val="clear" w:color="auto" w:fill="auto"/>
        </w:rPr>
        <w:t>讼的法律依据”</w:t>
      </w:r>
      <w:r>
        <w:rPr>
          <w:rFonts w:ascii="宋体" w:hAnsi="宋体" w:eastAsia="宋体" w:cs="宋体"/>
          <w:color w:val="auto"/>
          <w:sz w:val="24"/>
          <w:szCs w:val="24"/>
          <w:shd w:val="clear" w:color="auto" w:fill="auto"/>
          <w:vertAlign w:val="superscript"/>
        </w:rPr>
        <w:t>［9］</w:t>
      </w:r>
      <w:r>
        <w:rPr>
          <w:rFonts w:ascii="宋体" w:hAnsi="宋体" w:eastAsia="宋体" w:cs="宋体"/>
          <w:color w:val="auto"/>
          <w:sz w:val="24"/>
          <w:szCs w:val="24"/>
          <w:shd w:val="clear" w:color="auto" w:fill="auto"/>
        </w:rPr>
        <w:t>。其目的是“依法治教、依法治校”，将学校纳入法治的轨道。它要解决的是大学权力来源的问题，同时，大学能做什么，不能做什么，都应该由章程来决定。因此，现代大学制度建设强烈呼唤大学章程的制定。</w:t>
      </w:r>
    </w:p>
    <w:p>
      <w:pPr>
        <w:spacing w:after="0" w:line="201" w:lineRule="exact"/>
        <w:rPr>
          <w:color w:val="auto"/>
          <w:sz w:val="20"/>
          <w:szCs w:val="20"/>
          <w:shd w:val="clear" w:color="auto" w:fill="auto"/>
        </w:rPr>
      </w:pPr>
    </w:p>
    <w:p>
      <w:pPr>
        <w:spacing w:after="0" w:line="412" w:lineRule="exact"/>
        <w:ind w:firstLine="480"/>
        <w:rPr>
          <w:color w:val="auto"/>
          <w:sz w:val="20"/>
          <w:szCs w:val="20"/>
          <w:shd w:val="clear" w:color="auto" w:fill="auto"/>
        </w:rPr>
      </w:pPr>
      <w:r>
        <w:rPr>
          <w:rFonts w:ascii="宋体" w:hAnsi="宋体" w:eastAsia="宋体" w:cs="宋体"/>
          <w:color w:val="auto"/>
          <w:sz w:val="23"/>
          <w:szCs w:val="23"/>
          <w:shd w:val="clear" w:color="auto" w:fill="auto"/>
        </w:rPr>
        <w:t>长期以来，我国大学治理中由于没有权威的法律来规范不同主体的权利边界，相对学校而言，政府常常有“越界”的行为，当强势的政府对学校提出不合理要求时，学校甚至不知道该如何维护自己的权利；学校行政相对于教师和学术而言，也常常有“越界”的冲动。尽管大家都能感觉到相关主体越界了，可还是难以说清究竟什么地方、越了什么界，甚至一旦相关主体越界或被侵权后，应该受到的惩罚或寻求解决问题的司法救济也成为空白。同时，高校内部的管理常常“文山会海” ，政出多头，缺乏制度和法律的约束与保障，问题的关键就是我们没有一部明确界定不同主体权利边界的学校章程。</w:t>
      </w:r>
    </w:p>
    <w:p>
      <w:pPr>
        <w:spacing w:after="0" w:line="203" w:lineRule="exact"/>
        <w:rPr>
          <w:color w:val="auto"/>
          <w:sz w:val="20"/>
          <w:szCs w:val="20"/>
          <w:shd w:val="clear" w:color="auto" w:fill="auto"/>
        </w:rPr>
      </w:pPr>
    </w:p>
    <w:p>
      <w:pPr>
        <w:spacing w:after="0" w:line="389"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另一方面，我们还必须正视高等学校组织日趋复杂给大学治理带来巨大困难的现实。面对越来越巨型化的大学，如果没有一部协调各主体关系的大学“宪法” ，任何一个高明的校长都难免陷入头痛医头、脚痛医脚，进而顾此失彼的尴尬局面。这也给一些行政力量因此乘虚而入干预大学提供了堂而皇之的口实。</w:t>
      </w:r>
    </w:p>
    <w:p>
      <w:pPr>
        <w:spacing w:after="0" w:line="205" w:lineRule="exact"/>
        <w:rPr>
          <w:color w:val="auto"/>
          <w:sz w:val="20"/>
          <w:szCs w:val="20"/>
          <w:shd w:val="clear" w:color="auto" w:fill="auto"/>
        </w:rPr>
      </w:pPr>
    </w:p>
    <w:p>
      <w:pPr>
        <w:spacing w:after="0" w:line="406" w:lineRule="exact"/>
        <w:ind w:right="60" w:firstLine="480"/>
        <w:jc w:val="both"/>
        <w:rPr>
          <w:color w:val="auto"/>
          <w:sz w:val="20"/>
          <w:szCs w:val="20"/>
          <w:shd w:val="clear" w:color="auto" w:fill="auto"/>
        </w:rPr>
      </w:pPr>
      <w:r>
        <w:rPr>
          <w:rFonts w:ascii="宋体" w:hAnsi="宋体" w:eastAsia="宋体" w:cs="宋体"/>
          <w:color w:val="auto"/>
          <w:sz w:val="23"/>
          <w:szCs w:val="23"/>
          <w:shd w:val="clear" w:color="auto" w:fill="auto"/>
        </w:rPr>
        <w:t>我国大学组织的复杂化首先表现在学校规模的急剧膨胀。2010 年，全国普通高等学校本科、高职 （专科） 全日制在校生平均规模达到 9298 人，是扩招前 2007 年校均规模 3112 人的 3 倍。这种规模的扩张又往往与其学术组织的复杂化密切相关，高校内部的学科组织越来越庞杂，“大而全”几乎成为所有大学追求的目标。笔者 2010 年暑期在陕西、甘肃、青海的 20 多所本科院校进行了调研，发现这些学校差不多都是超过万人的巨型大学，而这些学校以前均是多科甚至单科专门学院，经过 10 多年的发展，</w:t>
      </w:r>
    </w:p>
    <w:p>
      <w:pPr>
        <w:spacing w:after="0" w:line="200" w:lineRule="exact"/>
        <w:rPr>
          <w:color w:val="auto"/>
          <w:sz w:val="20"/>
          <w:szCs w:val="20"/>
          <w:shd w:val="clear" w:color="auto" w:fill="auto"/>
        </w:rPr>
      </w:pPr>
    </w:p>
    <w:p>
      <w:pPr>
        <w:spacing w:after="0" w:line="256"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37</w:t>
      </w:r>
    </w:p>
    <w:p>
      <w:pPr>
        <w:rPr>
          <w:shd w:val="clear" w:color="auto" w:fill="auto"/>
        </w:rPr>
        <w:sectPr>
          <w:pgSz w:w="11900" w:h="16840"/>
          <w:pgMar w:top="1440" w:right="1304" w:bottom="587" w:left="1420" w:header="0" w:footer="0" w:gutter="0"/>
          <w:cols w:equalWidth="0" w:num="1">
            <w:col w:w="9180"/>
          </w:cols>
        </w:sectPr>
      </w:pPr>
    </w:p>
    <w:p>
      <w:pPr>
        <w:spacing w:after="0" w:line="90" w:lineRule="exact"/>
        <w:rPr>
          <w:color w:val="auto"/>
          <w:sz w:val="20"/>
          <w:szCs w:val="20"/>
          <w:shd w:val="clear" w:color="auto" w:fill="auto"/>
        </w:rPr>
      </w:pPr>
      <w:bookmarkStart w:id="40" w:name="page40"/>
      <w:bookmarkEnd w:id="40"/>
    </w:p>
    <w:p>
      <w:pPr>
        <w:spacing w:after="0" w:line="274" w:lineRule="exact"/>
        <w:ind w:left="2"/>
        <w:rPr>
          <w:color w:val="auto"/>
          <w:sz w:val="20"/>
          <w:szCs w:val="20"/>
          <w:shd w:val="clear" w:color="auto" w:fill="auto"/>
        </w:rPr>
      </w:pPr>
      <w:r>
        <w:rPr>
          <w:rFonts w:ascii="宋体" w:hAnsi="宋体" w:eastAsia="宋体" w:cs="宋体"/>
          <w:color w:val="auto"/>
          <w:sz w:val="24"/>
          <w:szCs w:val="24"/>
          <w:shd w:val="clear" w:color="auto" w:fill="auto"/>
        </w:rPr>
        <w:t>如今几乎都变成了综合型大学。</w:t>
      </w:r>
    </w:p>
    <w:p>
      <w:pPr>
        <w:spacing w:after="0" w:line="199" w:lineRule="exact"/>
        <w:rPr>
          <w:color w:val="auto"/>
          <w:sz w:val="20"/>
          <w:szCs w:val="20"/>
          <w:shd w:val="clear" w:color="auto" w:fill="auto"/>
        </w:rPr>
      </w:pPr>
    </w:p>
    <w:p>
      <w:pPr>
        <w:spacing w:after="0" w:line="426" w:lineRule="exact"/>
        <w:ind w:left="2" w:firstLine="480"/>
        <w:jc w:val="both"/>
        <w:rPr>
          <w:color w:val="auto"/>
          <w:sz w:val="20"/>
          <w:szCs w:val="20"/>
          <w:shd w:val="clear" w:color="auto" w:fill="auto"/>
        </w:rPr>
      </w:pPr>
      <w:r>
        <w:rPr>
          <w:rFonts w:ascii="宋体" w:hAnsi="宋体" w:eastAsia="宋体" w:cs="宋体"/>
          <w:color w:val="auto"/>
          <w:sz w:val="23"/>
          <w:szCs w:val="23"/>
          <w:shd w:val="clear" w:color="auto" w:fill="auto"/>
        </w:rPr>
        <w:t>随着规模的扩大和学术组织的复杂化，大学的功能也更加多元、内外部关系也更加复杂。大学传统的人才培养功能虽然依旧是大学合法存在的理由，但随着知识经济社会的来临，大学被社会和政府寄予了越来越多的科研、社会服务甚至国际交流、商业性技术开发、产业运营、文化引领等重要职能。同时，随着体制改革的深入，大学与政府、大学与内部院系以及师生关系也正在发生巨大的变革。政府一方面放松了对大学的管制，不再是大学唯一的利益主导者，但另一方面，又加大了对大学监督的力度。大学也不再把自己仅仅当做政府机构的延伸，它越来越寻求发展中的自主性和主体性。教师和学生也在大学人事制度、招生就业制度和收费制度等急剧变革的背景下，开始重新审视自己与学校的关系，教师的学术自主与自由权利诉求得到伸张，学生作为大学服务的购买者、消费者对自身的权利空前关注。近年来，大学财政的来源也出现了不断分化的趋势，不少重点大学政府财政拨款所占份额甚至降到了 30%左右，而来自社会的各类资金所占比重则大大增加，从而导致各类利益主体对大学的发展、职能、质量等提出了新的诉求，回应社会问责成为大学未来不得不面对的常态。最近北大、复旦、哈工大等一批 “985 工程”高校公布 2010 年度“本科教育质量报告”就是一个明证。</w:t>
      </w:r>
    </w:p>
    <w:p>
      <w:pPr>
        <w:spacing w:after="0" w:line="208" w:lineRule="exact"/>
        <w:rPr>
          <w:color w:val="auto"/>
          <w:sz w:val="20"/>
          <w:szCs w:val="20"/>
          <w:shd w:val="clear" w:color="auto" w:fill="auto"/>
        </w:rPr>
      </w:pPr>
    </w:p>
    <w:p>
      <w:pPr>
        <w:spacing w:after="0" w:line="390" w:lineRule="exact"/>
        <w:ind w:left="2" w:right="60" w:firstLine="480"/>
        <w:jc w:val="both"/>
        <w:rPr>
          <w:color w:val="auto"/>
          <w:sz w:val="20"/>
          <w:szCs w:val="20"/>
          <w:shd w:val="clear" w:color="auto" w:fill="auto"/>
        </w:rPr>
      </w:pPr>
      <w:r>
        <w:rPr>
          <w:rFonts w:ascii="宋体" w:hAnsi="宋体" w:eastAsia="宋体" w:cs="宋体"/>
          <w:color w:val="auto"/>
          <w:sz w:val="23"/>
          <w:szCs w:val="23"/>
          <w:shd w:val="clear" w:color="auto" w:fill="auto"/>
        </w:rPr>
        <w:t>正因为以上诸种变化，导致在大学治理中，如何处理与政府、大学与社会以及大学内部的关系等被提到议事日程。而这一切关系的处理仅仅依靠传统的领导个人魅力、行政命令、政府政策等越来越困难，而把这一切关系的调节纳入法制的轨道，依法治校成为必然。因此，作为体现当事人意愿自治的学校章程，其地位和作用日益凸显。</w:t>
      </w:r>
    </w:p>
    <w:p>
      <w:pPr>
        <w:spacing w:after="0" w:line="203" w:lineRule="exact"/>
        <w:rPr>
          <w:color w:val="auto"/>
          <w:sz w:val="20"/>
          <w:szCs w:val="20"/>
          <w:shd w:val="clear" w:color="auto" w:fill="auto"/>
        </w:rPr>
      </w:pPr>
    </w:p>
    <w:p>
      <w:pPr>
        <w:spacing w:after="0" w:line="390" w:lineRule="exact"/>
        <w:ind w:left="2" w:right="40" w:firstLine="480"/>
        <w:jc w:val="both"/>
        <w:rPr>
          <w:color w:val="auto"/>
          <w:sz w:val="20"/>
          <w:szCs w:val="20"/>
          <w:shd w:val="clear" w:color="auto" w:fill="auto"/>
        </w:rPr>
      </w:pPr>
      <w:r>
        <w:rPr>
          <w:rFonts w:ascii="宋体" w:hAnsi="宋体" w:eastAsia="宋体" w:cs="宋体"/>
          <w:color w:val="auto"/>
          <w:sz w:val="23"/>
          <w:szCs w:val="23"/>
          <w:shd w:val="clear" w:color="auto" w:fill="auto"/>
        </w:rPr>
        <w:t>“他山之石可以攻玉”，实际上，在西方高等教育发达国家，大学一般都设有自己的章程，而且大学章程正是大学自治和学术自由的合法性保障。如德国，大学是由国家设立的间接执行国家任务的公法人，有权依据国家法律的授权为管理自己的事务而制定章程。美国，无论公立、私立高校，则一般都有由大学权利机构 （一般是学校的董事</w:t>
      </w:r>
    </w:p>
    <w:p>
      <w:pPr>
        <w:spacing w:after="0" w:line="187" w:lineRule="exact"/>
        <w:rPr>
          <w:color w:val="auto"/>
          <w:sz w:val="20"/>
          <w:szCs w:val="20"/>
          <w:shd w:val="clear" w:color="auto" w:fill="auto"/>
        </w:rPr>
      </w:pPr>
    </w:p>
    <w:p>
      <w:pPr>
        <w:spacing w:after="0" w:line="394" w:lineRule="exact"/>
        <w:ind w:left="2"/>
        <w:jc w:val="right"/>
        <w:rPr>
          <w:color w:val="auto"/>
          <w:sz w:val="20"/>
          <w:szCs w:val="20"/>
          <w:shd w:val="clear" w:color="auto" w:fill="auto"/>
        </w:rPr>
      </w:pPr>
      <w:r>
        <w:rPr>
          <w:rFonts w:ascii="宋体" w:hAnsi="宋体" w:eastAsia="宋体" w:cs="宋体"/>
          <w:color w:val="auto"/>
          <w:sz w:val="23"/>
          <w:szCs w:val="23"/>
          <w:shd w:val="clear" w:color="auto" w:fill="auto"/>
        </w:rPr>
        <w:t>会），根据大学设立的特许状或地方政府颁布的教育法律法规，而制定的大学章程。</w:t>
      </w:r>
      <w:r>
        <w:rPr>
          <w:rFonts w:ascii="宋体" w:hAnsi="宋体" w:eastAsia="宋体" w:cs="宋体"/>
          <w:color w:val="auto"/>
          <w:sz w:val="23"/>
          <w:szCs w:val="23"/>
          <w:shd w:val="clear" w:color="auto" w:fill="auto"/>
          <w:vertAlign w:val="superscript"/>
        </w:rPr>
        <w:t>［10］</w:t>
      </w:r>
      <w:r>
        <w:rPr>
          <w:rFonts w:ascii="宋体" w:hAnsi="宋体" w:eastAsia="宋体" w:cs="宋体"/>
          <w:color w:val="auto"/>
          <w:sz w:val="23"/>
          <w:szCs w:val="23"/>
          <w:shd w:val="clear" w:color="auto" w:fill="auto"/>
        </w:rPr>
        <w:t xml:space="preserve">  也就是说，西方大学章程要么依据办学特许状制定，要么依据国家相关法律而制定。只有依据合法授权制定的章程，其本身才具有合法性，否则，即使制定了，也难有执行力。中国大学设立章程的问题提出已经 10 多年了，然而，一个不容忽视的问题是，我</w:t>
      </w:r>
    </w:p>
    <w:p>
      <w:pPr>
        <w:spacing w:after="0" w:line="203" w:lineRule="exact"/>
        <w:rPr>
          <w:color w:val="auto"/>
          <w:sz w:val="20"/>
          <w:szCs w:val="20"/>
          <w:shd w:val="clear" w:color="auto" w:fill="auto"/>
        </w:rPr>
      </w:pPr>
    </w:p>
    <w:p>
      <w:pPr>
        <w:numPr>
          <w:ilvl w:val="0"/>
          <w:numId w:val="8"/>
        </w:numPr>
        <w:tabs>
          <w:tab w:val="left" w:pos="362"/>
        </w:tabs>
        <w:spacing w:after="0" w:line="339" w:lineRule="exact"/>
        <w:ind w:left="2" w:hanging="2"/>
        <w:jc w:val="both"/>
        <w:rPr>
          <w:rFonts w:ascii="宋体" w:hAnsi="宋体" w:eastAsia="宋体" w:cs="宋体"/>
          <w:color w:val="auto"/>
          <w:sz w:val="23"/>
          <w:szCs w:val="23"/>
          <w:shd w:val="clear" w:color="auto" w:fill="auto"/>
        </w:rPr>
      </w:pPr>
      <w:r>
        <w:rPr>
          <w:rFonts w:ascii="宋体" w:hAnsi="宋体" w:eastAsia="宋体" w:cs="宋体"/>
          <w:color w:val="auto"/>
          <w:sz w:val="23"/>
          <w:szCs w:val="23"/>
          <w:shd w:val="clear" w:color="auto" w:fill="auto"/>
        </w:rPr>
        <w:t>2300 多所高校，目前只有吉林大学、上海交通大学、哈尔滨工业大学、延边大学、南昌大学等 30 所高校制定了章程。因此，如果严格追究法律程序，我国很多大学都在</w:t>
      </w:r>
    </w:p>
    <w:p>
      <w:pPr>
        <w:spacing w:after="0" w:line="202" w:lineRule="exact"/>
        <w:rPr>
          <w:color w:val="auto"/>
          <w:sz w:val="20"/>
          <w:szCs w:val="20"/>
          <w:shd w:val="clear" w:color="auto" w:fill="auto"/>
        </w:rPr>
      </w:pPr>
    </w:p>
    <w:p>
      <w:pPr>
        <w:spacing w:after="0" w:line="340" w:lineRule="exact"/>
        <w:ind w:left="2" w:right="60"/>
        <w:rPr>
          <w:color w:val="auto"/>
          <w:sz w:val="20"/>
          <w:szCs w:val="20"/>
          <w:shd w:val="clear" w:color="auto" w:fill="auto"/>
        </w:rPr>
      </w:pPr>
      <w:r>
        <w:rPr>
          <w:rFonts w:ascii="宋体" w:hAnsi="宋体" w:eastAsia="宋体" w:cs="宋体"/>
          <w:color w:val="auto"/>
          <w:sz w:val="23"/>
          <w:szCs w:val="23"/>
          <w:shd w:val="clear" w:color="auto" w:fill="auto"/>
        </w:rPr>
        <w:t>“非法”办学。因为，根据《高等教育法》第二十七条、二十八条的规定：章程是设立高等学校的基本条件之一。也就是说，我国高校制定章程不仅是有法可依的，而且是法</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58"/>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38</w:t>
      </w:r>
    </w:p>
    <w:p>
      <w:pPr>
        <w:rPr>
          <w:shd w:val="clear" w:color="auto" w:fill="auto"/>
        </w:rPr>
        <w:sectPr>
          <w:pgSz w:w="11900" w:h="16840"/>
          <w:pgMar w:top="1440" w:right="1364" w:bottom="587" w:left="1418" w:header="0" w:footer="0" w:gutter="0"/>
          <w:cols w:equalWidth="0" w:num="1">
            <w:col w:w="9122"/>
          </w:cols>
        </w:sectPr>
      </w:pPr>
    </w:p>
    <w:p>
      <w:pPr>
        <w:spacing w:after="0" w:line="102" w:lineRule="exact"/>
        <w:rPr>
          <w:color w:val="auto"/>
          <w:sz w:val="20"/>
          <w:szCs w:val="20"/>
          <w:shd w:val="clear" w:color="auto" w:fill="auto"/>
        </w:rPr>
      </w:pPr>
      <w:bookmarkStart w:id="41" w:name="page41"/>
      <w:bookmarkEnd w:id="41"/>
    </w:p>
    <w:p>
      <w:pPr>
        <w:spacing w:after="0" w:line="263" w:lineRule="exact"/>
        <w:ind w:left="2"/>
        <w:rPr>
          <w:color w:val="auto"/>
          <w:sz w:val="20"/>
          <w:szCs w:val="20"/>
          <w:shd w:val="clear" w:color="auto" w:fill="auto"/>
        </w:rPr>
      </w:pPr>
      <w:r>
        <w:rPr>
          <w:rFonts w:ascii="宋体" w:hAnsi="宋体" w:eastAsia="宋体" w:cs="宋体"/>
          <w:color w:val="auto"/>
          <w:sz w:val="23"/>
          <w:szCs w:val="23"/>
          <w:shd w:val="clear" w:color="auto" w:fill="auto"/>
        </w:rPr>
        <w:t>律强制的。早在 1995 年 9 月 1 日起施行的《教育法》第二十六条第一款就明确规定：</w:t>
      </w:r>
    </w:p>
    <w:p>
      <w:pPr>
        <w:spacing w:after="0" w:line="165" w:lineRule="exact"/>
        <w:rPr>
          <w:color w:val="auto"/>
          <w:sz w:val="20"/>
          <w:szCs w:val="20"/>
          <w:shd w:val="clear" w:color="auto" w:fill="auto"/>
        </w:rPr>
      </w:pPr>
    </w:p>
    <w:p>
      <w:pPr>
        <w:spacing w:after="0" w:line="274" w:lineRule="exact"/>
        <w:ind w:left="2"/>
        <w:rPr>
          <w:color w:val="auto"/>
          <w:sz w:val="20"/>
          <w:szCs w:val="20"/>
          <w:shd w:val="clear" w:color="auto" w:fill="auto"/>
        </w:rPr>
      </w:pPr>
      <w:r>
        <w:rPr>
          <w:rFonts w:ascii="宋体" w:hAnsi="宋体" w:eastAsia="宋体" w:cs="宋体"/>
          <w:color w:val="auto"/>
          <w:sz w:val="24"/>
          <w:szCs w:val="24"/>
          <w:shd w:val="clear" w:color="auto" w:fill="auto"/>
        </w:rPr>
        <w:t>设立学校及其他教育机构，必须具备的基本条件之一就是“有组织机构和章程”；1999</w:t>
      </w:r>
    </w:p>
    <w:p>
      <w:pPr>
        <w:spacing w:after="0" w:line="200" w:lineRule="exact"/>
        <w:rPr>
          <w:color w:val="auto"/>
          <w:sz w:val="20"/>
          <w:szCs w:val="20"/>
          <w:shd w:val="clear" w:color="auto" w:fill="auto"/>
        </w:rPr>
      </w:pPr>
    </w:p>
    <w:p>
      <w:pPr>
        <w:numPr>
          <w:ilvl w:val="0"/>
          <w:numId w:val="9"/>
        </w:numPr>
        <w:tabs>
          <w:tab w:val="left" w:pos="302"/>
        </w:tabs>
        <w:spacing w:after="0" w:line="389" w:lineRule="exact"/>
        <w:ind w:left="2" w:hanging="2"/>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1 月 1 日实施的《高等教育法》第二十七条第三款也明确规定：申请设立高等学校的，应当向审批机关提交“章程”等材料。最近， 《国家中长期教育改革和发展规划纲要》进一步重申了加强章程建设的意义，并把大学章程的建设提高到完善中国特色现代大学制度建设的高度来要求各类高校依法制定章程，依照章程规定管理学校。</w:t>
      </w:r>
    </w:p>
    <w:p>
      <w:pPr>
        <w:spacing w:after="0" w:line="172" w:lineRule="exact"/>
        <w:rPr>
          <w:rFonts w:ascii="宋体" w:hAnsi="宋体" w:eastAsia="宋体" w:cs="宋体"/>
          <w:color w:val="auto"/>
          <w:sz w:val="24"/>
          <w:szCs w:val="24"/>
          <w:shd w:val="clear" w:color="auto" w:fill="auto"/>
        </w:rPr>
      </w:pPr>
    </w:p>
    <w:p>
      <w:pPr>
        <w:spacing w:after="0" w:line="274" w:lineRule="exact"/>
        <w:ind w:left="482"/>
        <w:rPr>
          <w:rFonts w:ascii="宋体" w:hAnsi="宋体" w:eastAsia="宋体" w:cs="宋体"/>
          <w:color w:val="auto"/>
          <w:sz w:val="24"/>
          <w:szCs w:val="24"/>
          <w:shd w:val="clear" w:color="auto" w:fill="auto"/>
        </w:rPr>
      </w:pPr>
      <w:r>
        <w:rPr>
          <w:rFonts w:ascii="黑体" w:hAnsi="黑体" w:eastAsia="黑体" w:cs="黑体"/>
          <w:b/>
          <w:bCs/>
          <w:color w:val="auto"/>
          <w:sz w:val="24"/>
          <w:szCs w:val="24"/>
          <w:shd w:val="clear" w:color="auto" w:fill="auto"/>
        </w:rPr>
        <w:t>有关大学章程建设的几个问题探讨</w:t>
      </w:r>
    </w:p>
    <w:p>
      <w:pPr>
        <w:spacing w:after="0" w:line="163" w:lineRule="exact"/>
        <w:rPr>
          <w:rFonts w:ascii="宋体" w:hAnsi="宋体" w:eastAsia="宋体" w:cs="宋体"/>
          <w:color w:val="auto"/>
          <w:sz w:val="24"/>
          <w:szCs w:val="24"/>
          <w:shd w:val="clear" w:color="auto" w:fill="auto"/>
        </w:rPr>
      </w:pPr>
    </w:p>
    <w:p>
      <w:pPr>
        <w:spacing w:after="0" w:line="274" w:lineRule="exact"/>
        <w:ind w:left="48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1．大学章程制定的主体</w:t>
      </w:r>
    </w:p>
    <w:p>
      <w:pPr>
        <w:spacing w:after="0" w:line="200" w:lineRule="exact"/>
        <w:rPr>
          <w:rFonts w:ascii="宋体" w:hAnsi="宋体" w:eastAsia="宋体" w:cs="宋体"/>
          <w:color w:val="auto"/>
          <w:sz w:val="24"/>
          <w:szCs w:val="24"/>
          <w:shd w:val="clear" w:color="auto" w:fill="auto"/>
        </w:rPr>
      </w:pPr>
    </w:p>
    <w:p>
      <w:pPr>
        <w:spacing w:after="0" w:line="407" w:lineRule="exact"/>
        <w:ind w:left="2" w:firstLine="480"/>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虽然相关规定明确了大学章程制定的合法依据，但并没有解决谁是章程制定的合法权力主体问题。这恐怕是很多高校迟迟不制定章程的一个重要原因。《高等教育法》第二十七条规定：“今后申请设立高等学校者，必须向审批机关提交章程。”这一规定对高校设立章程办学提出了要求，但并未指出谁是章程的制定者，“申请设立学校者”从语法上看也易使人认为高等学校是学校章程的制定者。实际上，高等学校在批准设立之前，在法律上根本就不存在。从这一点上看，制定章程的主体不是学校。</w:t>
      </w:r>
    </w:p>
    <w:p>
      <w:pPr>
        <w:spacing w:after="0" w:line="203" w:lineRule="exact"/>
        <w:rPr>
          <w:rFonts w:ascii="宋体" w:hAnsi="宋体" w:eastAsia="宋体" w:cs="宋体"/>
          <w:color w:val="auto"/>
          <w:sz w:val="24"/>
          <w:szCs w:val="24"/>
          <w:shd w:val="clear" w:color="auto" w:fill="auto"/>
        </w:rPr>
      </w:pPr>
    </w:p>
    <w:p>
      <w:pPr>
        <w:spacing w:after="0" w:line="424" w:lineRule="exact"/>
        <w:ind w:left="2" w:right="120" w:firstLine="480"/>
        <w:jc w:val="both"/>
        <w:rPr>
          <w:rFonts w:ascii="宋体" w:hAnsi="宋体" w:eastAsia="宋体" w:cs="宋体"/>
          <w:color w:val="auto"/>
          <w:sz w:val="24"/>
          <w:szCs w:val="24"/>
          <w:shd w:val="clear" w:color="auto" w:fill="auto"/>
        </w:rPr>
      </w:pPr>
      <w:r>
        <w:rPr>
          <w:rFonts w:ascii="宋体" w:hAnsi="宋体" w:eastAsia="宋体" w:cs="宋体"/>
          <w:color w:val="auto"/>
          <w:sz w:val="23"/>
          <w:szCs w:val="23"/>
          <w:shd w:val="clear" w:color="auto" w:fill="auto"/>
        </w:rPr>
        <w:t>那么，我们可以推论，学校的“举办者”应该是学校章程的制定者，也就是说举办者拥有学校章程的制定权。假定这一推论成立，那么对于私立或民办高校来讲，制定章程的主体就不存在争议。问题是公立高校的举办者是各级政府。那么，中央政府所属的学校就应该由中央政府相关部门来为大学制定章程，地方政府举办的学校当然要由地方政府为高校制定章程。但这容易产生的问题是：无论中央政府还是地方政府都举办有几十所甚至上百所高校，那么，这些高校都由同一个办学主体来制定章程的话，则学校的自主性和独立性又难以体现，不利于激发学校的积极性，也难以形成办学的特色与学校的多样化发展。而且，社会机构参与投资办学的积极性也正在提高，高校的治理还必须部分地体现社会捐资机构、产学研合作机构等利益相关者的权利和义务，这也要在章程中有所反应。大学章程制定的参与者还必须包括一些主要的利益相关体。因此，笔者认为，可以考虑由各级政府（举办者）以及主要利益相关者授权高校，根据各学校自身的特点和定位，依据国家相关法律和相关政策规定独立制定本校的章程。</w:t>
      </w:r>
    </w:p>
    <w:p>
      <w:pPr>
        <w:spacing w:after="0" w:line="170" w:lineRule="exact"/>
        <w:rPr>
          <w:rFonts w:ascii="宋体" w:hAnsi="宋体" w:eastAsia="宋体" w:cs="宋体"/>
          <w:color w:val="auto"/>
          <w:sz w:val="24"/>
          <w:szCs w:val="24"/>
          <w:shd w:val="clear" w:color="auto" w:fill="auto"/>
        </w:rPr>
      </w:pPr>
    </w:p>
    <w:p>
      <w:pPr>
        <w:spacing w:after="0" w:line="274" w:lineRule="exact"/>
        <w:ind w:left="48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2．大学章程的审批主体</w:t>
      </w:r>
    </w:p>
    <w:p>
      <w:pPr>
        <w:spacing w:after="0" w:line="200" w:lineRule="exact"/>
        <w:rPr>
          <w:rFonts w:ascii="宋体" w:hAnsi="宋体" w:eastAsia="宋体" w:cs="宋体"/>
          <w:color w:val="auto"/>
          <w:sz w:val="24"/>
          <w:szCs w:val="24"/>
          <w:shd w:val="clear" w:color="auto" w:fill="auto"/>
        </w:rPr>
      </w:pPr>
    </w:p>
    <w:p>
      <w:pPr>
        <w:spacing w:after="0" w:line="373" w:lineRule="exact"/>
        <w:ind w:left="2" w:right="120" w:firstLine="480"/>
        <w:jc w:val="both"/>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虽然大学章程可以由各级政府（举办者）授权各高校拟定自己的章程，但这个章程要真正具有法律效应，还必须获得正式的法律身份，方能具有法律效力。那么，谁能够成为大学章程的合法审批者呢？</w:t>
      </w:r>
    </w:p>
    <w:p>
      <w:pPr>
        <w:spacing w:after="0" w:line="167" w:lineRule="exact"/>
        <w:rPr>
          <w:rFonts w:ascii="宋体" w:hAnsi="宋体" w:eastAsia="宋体" w:cs="宋体"/>
          <w:color w:val="auto"/>
          <w:sz w:val="24"/>
          <w:szCs w:val="24"/>
          <w:shd w:val="clear" w:color="auto" w:fill="auto"/>
        </w:rPr>
      </w:pPr>
    </w:p>
    <w:p>
      <w:pPr>
        <w:spacing w:after="0" w:line="274" w:lineRule="exact"/>
        <w:ind w:left="48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前文指出，大学章程要调节两方面的关系：一是高校内部的关系；二是外部关系，</w:t>
      </w:r>
    </w:p>
    <w:p>
      <w:pPr>
        <w:spacing w:after="0" w:line="200" w:lineRule="exact"/>
        <w:rPr>
          <w:color w:val="auto"/>
          <w:sz w:val="20"/>
          <w:szCs w:val="20"/>
          <w:shd w:val="clear" w:color="auto" w:fill="auto"/>
        </w:rPr>
      </w:pPr>
    </w:p>
    <w:p>
      <w:pPr>
        <w:spacing w:after="0" w:line="277" w:lineRule="exact"/>
        <w:rPr>
          <w:color w:val="auto"/>
          <w:sz w:val="20"/>
          <w:szCs w:val="20"/>
          <w:shd w:val="clear" w:color="auto" w:fill="auto"/>
        </w:rPr>
      </w:pPr>
    </w:p>
    <w:p>
      <w:pPr>
        <w:spacing w:after="0"/>
        <w:ind w:right="118"/>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39</w:t>
      </w:r>
    </w:p>
    <w:p>
      <w:pPr>
        <w:rPr>
          <w:shd w:val="clear" w:color="auto" w:fill="auto"/>
        </w:rPr>
        <w:sectPr>
          <w:pgSz w:w="11900" w:h="16840"/>
          <w:pgMar w:top="1440" w:right="1304" w:bottom="587" w:left="1418" w:header="0" w:footer="0" w:gutter="0"/>
          <w:cols w:equalWidth="0" w:num="1">
            <w:col w:w="9182"/>
          </w:cols>
        </w:sectPr>
      </w:pPr>
    </w:p>
    <w:p>
      <w:pPr>
        <w:spacing w:after="0" w:line="124" w:lineRule="exact"/>
        <w:rPr>
          <w:color w:val="auto"/>
          <w:sz w:val="20"/>
          <w:szCs w:val="20"/>
          <w:shd w:val="clear" w:color="auto" w:fill="auto"/>
        </w:rPr>
      </w:pPr>
      <w:bookmarkStart w:id="42" w:name="page42"/>
      <w:bookmarkEnd w:id="42"/>
    </w:p>
    <w:p>
      <w:pPr>
        <w:spacing w:after="0" w:line="415" w:lineRule="exact"/>
        <w:ind w:right="60"/>
        <w:jc w:val="both"/>
        <w:rPr>
          <w:color w:val="auto"/>
          <w:sz w:val="20"/>
          <w:szCs w:val="20"/>
          <w:shd w:val="clear" w:color="auto" w:fill="auto"/>
        </w:rPr>
      </w:pPr>
      <w:r>
        <w:rPr>
          <w:rFonts w:ascii="宋体" w:hAnsi="宋体" w:eastAsia="宋体" w:cs="宋体"/>
          <w:color w:val="auto"/>
          <w:sz w:val="24"/>
          <w:szCs w:val="24"/>
          <w:shd w:val="clear" w:color="auto" w:fill="auto"/>
        </w:rPr>
        <w:t>即高校与政府的关系。一方面，从第一个层面看，由于我国的高校内部管理体制实行的是党委领导下的校长负责制，因此，首先需要在这个章程中明确党委领导与校长负责的关系；其次，高校内部最重要的行政权力与学术权力之间的关系如何处理，也需要这个章程来厘清；再次，学校与教职工、学校与学生的权利与义务关系，在这个章程中也必须明确规范。由此可见，大学章程是一个牵涉到内部所有成员利益的核心制度安排，因此，它的制定就需要经过公开讨论，广泛征求教职员工、学生等各方的意见，并报送学校校长办公会议或校务会讨论，之后提交教职工代表大会审议，由学校权力机构审批、法人代表签署后报送举办者审批。</w:t>
      </w:r>
    </w:p>
    <w:p>
      <w:pPr>
        <w:spacing w:after="0" w:line="207" w:lineRule="exact"/>
        <w:rPr>
          <w:color w:val="auto"/>
          <w:sz w:val="20"/>
          <w:szCs w:val="20"/>
          <w:shd w:val="clear" w:color="auto" w:fill="auto"/>
        </w:rPr>
      </w:pPr>
    </w:p>
    <w:p>
      <w:pPr>
        <w:spacing w:after="0" w:line="407"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另一方面，从高校的外部关系来看，涉及到如何处理学校与政府、学校和社会的关系问题。尽管人们常常以高校是学术机构和人才培养机构，学术自治和学术自由是现代大学治理的基本特征为由，拒绝政府对高校的干预。但由于高等教育是一项投资巨大的事业，没有政府的大力支持，高校很难持续发展。政府作为公立高校的投资主体和办学主体，当然应该享有对所属高校的管理权、监督权，同时，这一章程也要限制举办者的权利。因此，从这个角</w:t>
      </w:r>
    </w:p>
    <w:p>
      <w:pPr>
        <w:spacing w:after="0" w:line="170"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度说，政府应该享有大学章程的最终审批权。</w:t>
      </w:r>
    </w:p>
    <w:p>
      <w:pPr>
        <w:spacing w:after="0" w:line="16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3．大学章程的基本内容</w:t>
      </w:r>
    </w:p>
    <w:p>
      <w:pPr>
        <w:spacing w:after="0" w:line="199" w:lineRule="exact"/>
        <w:rPr>
          <w:color w:val="auto"/>
          <w:sz w:val="20"/>
          <w:szCs w:val="20"/>
          <w:shd w:val="clear" w:color="auto" w:fill="auto"/>
        </w:rPr>
      </w:pPr>
    </w:p>
    <w:p>
      <w:pPr>
        <w:spacing w:after="0" w:line="418" w:lineRule="exact"/>
        <w:ind w:right="100" w:firstLine="480"/>
        <w:jc w:val="both"/>
        <w:rPr>
          <w:color w:val="auto"/>
          <w:sz w:val="20"/>
          <w:szCs w:val="20"/>
          <w:shd w:val="clear" w:color="auto" w:fill="auto"/>
        </w:rPr>
      </w:pPr>
      <w:r>
        <w:rPr>
          <w:rFonts w:ascii="宋体" w:hAnsi="宋体" w:eastAsia="宋体" w:cs="宋体"/>
          <w:color w:val="auto"/>
          <w:sz w:val="23"/>
          <w:szCs w:val="23"/>
          <w:shd w:val="clear" w:color="auto" w:fill="auto"/>
        </w:rPr>
        <w:t>我们明确了大学章程的性质和内容，那么大学章程的内容就要紧紧围绕其性质和内容展开。实际上，关于大学章程的内容，在我国的《高等教育法》 第二十八条和 《民办教育实施条例》 第十四条均已有明确的规定。一般而言，学校章程的内容可以分为必要记载事项和任意记载事项。前者是法律明确规定学校章程应该记载的事项，后者是举办人任意记载的事项。其中必要记载事项又分为绝对必要记载事项和相对必要记载事项，绝对必要记载的事项是关系学校章程的效力以及学校存亡的关键事项，因此，其内容在章程中反映具有绝对必要性。相对必要记载事项也是法律列举的事项，但是否记载于章程则由当事人决定，如果予以记载，则发生效力；如果不予记载，也不影响整个章程的效力。而任意记载事项则是举办者认为有必要记入章程，作为共同遵守的行为规范</w:t>
      </w:r>
    </w:p>
    <w:p>
      <w:pPr>
        <w:spacing w:after="0" w:line="185"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事项，一旦载入，则各当事人必须遵守。</w:t>
      </w:r>
      <w:r>
        <w:rPr>
          <w:rFonts w:ascii="宋体" w:hAnsi="宋体" w:eastAsia="宋体" w:cs="宋体"/>
          <w:color w:val="auto"/>
          <w:sz w:val="24"/>
          <w:szCs w:val="24"/>
          <w:shd w:val="clear" w:color="auto" w:fill="auto"/>
          <w:vertAlign w:val="superscript"/>
        </w:rPr>
        <w:t>［11］</w:t>
      </w:r>
    </w:p>
    <w:p>
      <w:pPr>
        <w:spacing w:after="0" w:line="184" w:lineRule="exact"/>
        <w:rPr>
          <w:color w:val="auto"/>
          <w:sz w:val="20"/>
          <w:szCs w:val="20"/>
          <w:shd w:val="clear" w:color="auto" w:fill="auto"/>
        </w:rPr>
      </w:pPr>
    </w:p>
    <w:p>
      <w:pPr>
        <w:spacing w:after="0" w:line="401"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《高等教育法》和《民办教育实施条例》均规定了大学章程应包括的“绝对必须记载事项” ，如学校名称、地址；办学理念、发展目标；权力结构；经费保障与财务制度；举办者与学校之间的关系以及章程的修订程序等重要内容。但对大学来讲，笔者以为还应有一些相对必须记载的内容却没有在这些法规中反映，这些内容如果不在章程中反映，会给学校治理带来很大的不确定性。如有关学生入学、退学、转学、休学、毕业、</w:t>
      </w:r>
    </w:p>
    <w:p>
      <w:pPr>
        <w:spacing w:after="0" w:line="200" w:lineRule="exact"/>
        <w:rPr>
          <w:color w:val="auto"/>
          <w:sz w:val="20"/>
          <w:szCs w:val="20"/>
          <w:shd w:val="clear" w:color="auto" w:fill="auto"/>
        </w:rPr>
      </w:pPr>
    </w:p>
    <w:p>
      <w:pPr>
        <w:spacing w:after="0" w:line="277"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40</w:t>
      </w:r>
    </w:p>
    <w:p>
      <w:pPr>
        <w:rPr>
          <w:shd w:val="clear" w:color="auto" w:fill="auto"/>
        </w:rPr>
        <w:sectPr>
          <w:pgSz w:w="11900" w:h="16840"/>
          <w:pgMar w:top="1440" w:right="1304" w:bottom="587" w:left="1420" w:header="0" w:footer="0" w:gutter="0"/>
          <w:cols w:equalWidth="0" w:num="1">
            <w:col w:w="9180"/>
          </w:cols>
        </w:sectPr>
      </w:pPr>
    </w:p>
    <w:p>
      <w:pPr>
        <w:spacing w:after="0" w:line="90" w:lineRule="exact"/>
        <w:rPr>
          <w:color w:val="auto"/>
          <w:sz w:val="20"/>
          <w:szCs w:val="20"/>
          <w:shd w:val="clear" w:color="auto" w:fill="auto"/>
        </w:rPr>
      </w:pPr>
      <w:bookmarkStart w:id="43" w:name="page43"/>
      <w:bookmarkEnd w:id="43"/>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学制等事项；重大人事制度，如教职员工的聘任、晋升、奖惩等。</w:t>
      </w:r>
    </w:p>
    <w:p>
      <w:pPr>
        <w:spacing w:after="0" w:line="199" w:lineRule="exact"/>
        <w:rPr>
          <w:color w:val="auto"/>
          <w:sz w:val="20"/>
          <w:szCs w:val="20"/>
          <w:shd w:val="clear" w:color="auto" w:fill="auto"/>
        </w:rPr>
      </w:pPr>
    </w:p>
    <w:p>
      <w:pPr>
        <w:spacing w:after="0" w:line="407"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当然，各大学能否制定具有自身特色的章程并真正发挥其作用，关键在于外部治理环境和内部民主治理结构的确立。如果政府依旧习惯于发号施令，学校习惯于依赖政府，则大学章程难以起到促进大学自主办学、自治独立的作用。如果高校内部不处理好党政关系、行政权力与学术权力的关系，保障学术的自治、自由和独立，则大学章程也很难协调内部的关系。现代大学制度建设依靠大学章程予以保障，但大学章程的制定首先必须遵循现代大学治理的基本理念和原则，即学术自由、大学自治。</w:t>
      </w:r>
    </w:p>
    <w:p>
      <w:pPr>
        <w:spacing w:after="0" w:line="99" w:lineRule="exact"/>
        <w:rPr>
          <w:color w:val="auto"/>
          <w:sz w:val="20"/>
          <w:szCs w:val="20"/>
          <w:shd w:val="clear" w:color="auto" w:fill="auto"/>
        </w:rPr>
      </w:pPr>
    </w:p>
    <w:p>
      <w:pPr>
        <w:spacing w:after="0" w:line="313" w:lineRule="exact"/>
        <w:ind w:left="3960"/>
        <w:rPr>
          <w:color w:val="auto"/>
          <w:sz w:val="20"/>
          <w:szCs w:val="20"/>
          <w:shd w:val="clear" w:color="auto" w:fill="auto"/>
        </w:rPr>
      </w:pPr>
      <w:r>
        <w:rPr>
          <w:rFonts w:ascii="新宋体" w:hAnsi="新宋体" w:eastAsia="新宋体" w:cs="新宋体"/>
          <w:color w:val="auto"/>
          <w:sz w:val="24"/>
          <w:szCs w:val="24"/>
          <w:shd w:val="clear" w:color="auto" w:fill="auto"/>
        </w:rPr>
        <w:t>（本文摘自《探索与争鸣》</w:t>
      </w:r>
      <w:r>
        <w:rPr>
          <w:rFonts w:ascii="Courier New" w:hAnsi="Courier New" w:eastAsia="Courier New" w:cs="Courier New"/>
          <w:color w:val="auto"/>
          <w:sz w:val="24"/>
          <w:szCs w:val="24"/>
          <w:shd w:val="clear" w:color="auto" w:fill="auto"/>
        </w:rPr>
        <w:t xml:space="preserve">2012 </w:t>
      </w:r>
      <w:r>
        <w:rPr>
          <w:rFonts w:ascii="新宋体" w:hAnsi="新宋体" w:eastAsia="新宋体" w:cs="新宋体"/>
          <w:color w:val="auto"/>
          <w:sz w:val="24"/>
          <w:szCs w:val="24"/>
          <w:shd w:val="clear" w:color="auto" w:fill="auto"/>
        </w:rPr>
        <w:t>年第</w:t>
      </w:r>
      <w:r>
        <w:rPr>
          <w:rFonts w:ascii="Courier New" w:hAnsi="Courier New" w:eastAsia="Courier New" w:cs="Courier New"/>
          <w:color w:val="auto"/>
          <w:sz w:val="24"/>
          <w:szCs w:val="24"/>
          <w:shd w:val="clear" w:color="auto" w:fill="auto"/>
        </w:rPr>
        <w:t xml:space="preserve"> 04 </w:t>
      </w:r>
      <w:r>
        <w:rPr>
          <w:rFonts w:ascii="新宋体" w:hAnsi="新宋体" w:eastAsia="新宋体" w:cs="新宋体"/>
          <w:color w:val="auto"/>
          <w:sz w:val="24"/>
          <w:szCs w:val="24"/>
          <w:shd w:val="clear" w:color="auto" w:fill="auto"/>
        </w:rPr>
        <w:t>期）</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31"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41</w:t>
      </w:r>
    </w:p>
    <w:p>
      <w:pPr>
        <w:rPr>
          <w:shd w:val="clear" w:color="auto" w:fill="auto"/>
        </w:rPr>
        <w:sectPr>
          <w:pgSz w:w="11900" w:h="16840"/>
          <w:pgMar w:top="1440" w:right="1304" w:bottom="587" w:left="1420" w:header="0" w:footer="0" w:gutter="0"/>
          <w:cols w:equalWidth="0" w:num="1">
            <w:col w:w="9180"/>
          </w:cols>
        </w:sectPr>
      </w:pPr>
    </w:p>
    <w:p>
      <w:pPr>
        <w:spacing w:after="0" w:line="200" w:lineRule="exact"/>
        <w:rPr>
          <w:color w:val="auto"/>
          <w:sz w:val="20"/>
          <w:szCs w:val="20"/>
          <w:shd w:val="clear" w:color="auto" w:fill="auto"/>
        </w:rPr>
      </w:pPr>
      <w:bookmarkStart w:id="44" w:name="page44"/>
      <w:bookmarkEnd w:id="44"/>
      <w:r>
        <w:rPr>
          <w:color w:val="auto"/>
          <w:sz w:val="20"/>
          <w:szCs w:val="20"/>
          <w:shd w:val="clear" w:color="auto" w:fill="auto"/>
        </w:rPr>
        <mc:AlternateContent>
          <mc:Choice Requires="wps">
            <w:drawing>
              <wp:anchor distT="0" distB="0" distL="114300" distR="114300" simplePos="0" relativeHeight="251658240" behindDoc="1" locked="0" layoutInCell="0" allowOverlap="1">
                <wp:simplePos x="0" y="0"/>
                <wp:positionH relativeFrom="page">
                  <wp:posOffset>1755140</wp:posOffset>
                </wp:positionH>
                <wp:positionV relativeFrom="page">
                  <wp:posOffset>1353185</wp:posOffset>
                </wp:positionV>
                <wp:extent cx="4189730" cy="415925"/>
                <wp:effectExtent l="0" t="0" r="1270" b="3175"/>
                <wp:wrapNone/>
                <wp:docPr id="12" name="Shape 12"/>
                <wp:cNvGraphicFramePr/>
                <a:graphic xmlns:a="http://schemas.openxmlformats.org/drawingml/2006/main">
                  <a:graphicData uri="http://schemas.microsoft.com/office/word/2010/wordprocessingShape">
                    <wps:wsp>
                      <wps:cNvSpPr/>
                      <wps:spPr>
                        <a:xfrm>
                          <a:off x="0" y="0"/>
                          <a:ext cx="4189730" cy="415925"/>
                        </a:xfrm>
                        <a:prstGeom prst="rect">
                          <a:avLst/>
                        </a:prstGeom>
                        <a:solidFill>
                          <a:srgbClr val="E5E5E5"/>
                        </a:solidFill>
                      </wps:spPr>
                      <wps:bodyPr/>
                    </wps:wsp>
                  </a:graphicData>
                </a:graphic>
              </wp:anchor>
            </w:drawing>
          </mc:Choice>
          <mc:Fallback>
            <w:pict>
              <v:rect id="Shape 12" o:spid="_x0000_s1026" o:spt="1" style="position:absolute;left:0pt;margin-left:138.2pt;margin-top:106.55pt;height:32.75pt;width:329.9pt;mso-position-horizontal-relative:page;mso-position-vertical-relative:page;z-index:-251658240;mso-width-relative:page;mso-height-relative:page;" fillcolor="#E5E5E5" filled="t" stroked="f" coordsize="21600,21600" o:allowincell="f" o:gfxdata="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st7zwdoAAAALAQAADwAAAAAAAAABACAAAAAiAAAAZHJzL2Rvd25yZXYueG1sUEsBAhQAFAAAAAgA&#10;h07iQE6Sxwt4AQAA7gIAAA4AAAAAAAAAAQAgAAAAKQEAAGRycy9lMm9Eb2MueG1sUEsFBgAAAAAG&#10;AAYAWQEAABMFAAAAAA==&#10;">
                <v:fill on="t" focussize="0,0"/>
                <v:stroke on="f"/>
                <v:imagedata o:title=""/>
                <o:lock v:ext="edit" aspectratio="f"/>
              </v:rect>
            </w:pict>
          </mc:Fallback>
        </mc:AlternateContent>
      </w:r>
    </w:p>
    <w:p>
      <w:pPr>
        <w:spacing w:after="0" w:line="200" w:lineRule="exact"/>
        <w:rPr>
          <w:color w:val="auto"/>
          <w:sz w:val="20"/>
          <w:szCs w:val="20"/>
          <w:shd w:val="clear" w:color="auto" w:fill="auto"/>
        </w:rPr>
      </w:pPr>
    </w:p>
    <w:p>
      <w:pPr>
        <w:spacing w:after="0" w:line="354" w:lineRule="exact"/>
        <w:rPr>
          <w:color w:val="auto"/>
          <w:sz w:val="20"/>
          <w:szCs w:val="20"/>
          <w:shd w:val="clear" w:color="auto" w:fill="auto"/>
        </w:rPr>
      </w:pPr>
    </w:p>
    <w:p>
      <w:pPr>
        <w:spacing w:after="0" w:line="502" w:lineRule="exact"/>
        <w:ind w:right="-99"/>
        <w:jc w:val="center"/>
        <w:rPr>
          <w:color w:val="auto"/>
          <w:sz w:val="20"/>
          <w:szCs w:val="20"/>
          <w:shd w:val="clear" w:color="auto" w:fill="auto"/>
        </w:rPr>
      </w:pPr>
      <w:r>
        <w:rPr>
          <w:rFonts w:ascii="宋体" w:hAnsi="宋体" w:eastAsia="宋体" w:cs="宋体"/>
          <w:color w:val="auto"/>
          <w:sz w:val="44"/>
          <w:szCs w:val="44"/>
          <w:shd w:val="clear" w:color="auto" w:fill="auto"/>
        </w:rPr>
        <w:t>大学章程地位与要素的国际比较</w:t>
      </w:r>
    </w:p>
    <w:p>
      <w:pPr>
        <w:spacing w:after="0" w:line="229" w:lineRule="exact"/>
        <w:rPr>
          <w:color w:val="auto"/>
          <w:sz w:val="20"/>
          <w:szCs w:val="20"/>
          <w:shd w:val="clear" w:color="auto" w:fill="auto"/>
        </w:rPr>
      </w:pPr>
    </w:p>
    <w:p>
      <w:pPr>
        <w:spacing w:after="0" w:line="366" w:lineRule="exact"/>
        <w:ind w:right="120"/>
        <w:jc w:val="center"/>
        <w:rPr>
          <w:color w:val="auto"/>
          <w:sz w:val="20"/>
          <w:szCs w:val="20"/>
          <w:shd w:val="clear" w:color="auto" w:fill="auto"/>
        </w:rPr>
      </w:pPr>
      <w:r>
        <w:rPr>
          <w:rFonts w:ascii="新宋体" w:hAnsi="新宋体" w:eastAsia="新宋体" w:cs="新宋体"/>
          <w:b/>
          <w:bCs/>
          <w:color w:val="auto"/>
          <w:sz w:val="32"/>
          <w:szCs w:val="32"/>
          <w:shd w:val="clear" w:color="auto" w:fill="auto"/>
        </w:rPr>
        <w:t>马陆亭</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370" w:lineRule="exact"/>
        <w:rPr>
          <w:color w:val="auto"/>
          <w:sz w:val="20"/>
          <w:szCs w:val="20"/>
          <w:shd w:val="clear" w:color="auto" w:fill="auto"/>
        </w:rPr>
      </w:pPr>
    </w:p>
    <w:p>
      <w:pPr>
        <w:spacing w:after="0" w:line="368" w:lineRule="exact"/>
        <w:ind w:left="420" w:right="540"/>
        <w:rPr>
          <w:color w:val="auto"/>
          <w:sz w:val="20"/>
          <w:szCs w:val="20"/>
          <w:shd w:val="clear" w:color="auto" w:fill="auto"/>
        </w:rPr>
      </w:pPr>
      <w:r>
        <w:rPr>
          <w:rFonts w:ascii="黑体" w:hAnsi="黑体" w:eastAsia="黑体" w:cs="黑体"/>
          <w:b/>
          <w:bCs/>
          <w:color w:val="auto"/>
          <w:sz w:val="24"/>
          <w:szCs w:val="24"/>
          <w:shd w:val="clear" w:color="auto" w:fill="auto"/>
        </w:rPr>
        <w:t>摘 要：</w:t>
      </w:r>
      <w:r>
        <w:rPr>
          <w:rFonts w:ascii="新宋体" w:hAnsi="新宋体" w:eastAsia="新宋体" w:cs="新宋体"/>
          <w:color w:val="auto"/>
          <w:sz w:val="24"/>
          <w:szCs w:val="24"/>
          <w:shd w:val="clear" w:color="auto" w:fill="auto"/>
        </w:rPr>
        <w:t>大学章程是大学自主办学和外部对大学实施影响而协商的产物， 反映了大学和社会特别是和政府间的关系， 彰显着大学的使命要求。内部治理是大学章程阐述的重点， 主要体现在决策机构、行政机构、学术机构的划定上。我国目前要以制订章程为契机推动高校依法自主办学。</w:t>
      </w:r>
      <w:r>
        <w:rPr>
          <w:rFonts w:ascii="黑体" w:hAnsi="黑体" w:eastAsia="黑体" w:cs="黑体"/>
          <w:b/>
          <w:bCs/>
          <w:color w:val="auto"/>
          <w:sz w:val="24"/>
          <w:szCs w:val="24"/>
          <w:shd w:val="clear" w:color="auto" w:fill="auto"/>
        </w:rPr>
        <w:t>关键词：</w:t>
      </w:r>
      <w:r>
        <w:rPr>
          <w:rFonts w:ascii="新宋体" w:hAnsi="新宋体" w:eastAsia="新宋体" w:cs="新宋体"/>
          <w:color w:val="auto"/>
          <w:sz w:val="24"/>
          <w:szCs w:val="24"/>
          <w:shd w:val="clear" w:color="auto" w:fill="auto"/>
        </w:rPr>
        <w:t>大学章程；大学特许状；治理结构；内容要素</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34" w:lineRule="exact"/>
        <w:rPr>
          <w:color w:val="auto"/>
          <w:sz w:val="20"/>
          <w:szCs w:val="20"/>
          <w:shd w:val="clear" w:color="auto" w:fill="auto"/>
        </w:rPr>
      </w:pPr>
    </w:p>
    <w:p>
      <w:pPr>
        <w:spacing w:after="0" w:line="415" w:lineRule="exact"/>
        <w:ind w:firstLine="432"/>
        <w:jc w:val="both"/>
        <w:rPr>
          <w:color w:val="auto"/>
          <w:sz w:val="20"/>
          <w:szCs w:val="20"/>
          <w:shd w:val="clear" w:color="auto" w:fill="auto"/>
        </w:rPr>
      </w:pPr>
      <w:r>
        <w:rPr>
          <w:rFonts w:ascii="宋体" w:hAnsi="宋体" w:eastAsia="宋体" w:cs="宋体"/>
          <w:color w:val="auto"/>
          <w:sz w:val="24"/>
          <w:szCs w:val="24"/>
          <w:shd w:val="clear" w:color="auto" w:fill="auto"/>
        </w:rPr>
        <w:t>章程是约定和阐述独立主体使命，界定内部各利益关系的责任和义务，书面写定的有法定意义的组织规程。任何一个有独立自主权的机构都需要明晰组织规程以使人了解自己的使命，规范自己的组织运营。1995 年，中华人民共和国教育法（以下简称教育法）规定，学校有按照章程行使自主管理的权利；1998 年，中华人民共和国高等教育法（以下简称高等教育法）规定， 申请设立高等学校应当向审批机关提交章程等内容，说明了章程的法律地位。但目前我国的绝大多数高等学校并没有章程，只有为数不多的学校在进行试点。本文以国际的、历史的视角，对大学章程所体现的法治精神、要素内容进行探讨，并对我国的大学章程建设提出看法。</w:t>
      </w:r>
    </w:p>
    <w:p>
      <w:pPr>
        <w:spacing w:after="0" w:line="17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一、以制定章程为契机推动大学依法自主办学</w:t>
      </w:r>
    </w:p>
    <w:p>
      <w:pPr>
        <w:spacing w:after="0" w:line="197" w:lineRule="exact"/>
        <w:rPr>
          <w:color w:val="auto"/>
          <w:sz w:val="20"/>
          <w:szCs w:val="20"/>
          <w:shd w:val="clear" w:color="auto" w:fill="auto"/>
        </w:rPr>
      </w:pPr>
    </w:p>
    <w:p>
      <w:pPr>
        <w:spacing w:after="0" w:line="400"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改革开放特别是 20 世纪 90 年代以来，我国不断进行高等教育管理体制改革的探索，目标是建立中央和省两级管理、以省级政府为主、政府办学为主、多元化办学格局和高等学校面向社会依法自主办学的管理体制。对此进行进一步分析，是为了适应社会全方位变化及教育自身发展的要求，有效地激发和释放体制的活力。对于普通高校而言，就是建立政府宏观管理、学校面向社会自主办学的体制。</w:t>
      </w:r>
    </w:p>
    <w:p>
      <w:pPr>
        <w:spacing w:after="0" w:line="205" w:lineRule="exact"/>
        <w:rPr>
          <w:color w:val="auto"/>
          <w:sz w:val="20"/>
          <w:szCs w:val="20"/>
          <w:shd w:val="clear" w:color="auto" w:fill="auto"/>
        </w:rPr>
      </w:pPr>
    </w:p>
    <w:p>
      <w:pPr>
        <w:numPr>
          <w:ilvl w:val="0"/>
          <w:numId w:val="10"/>
        </w:numPr>
        <w:tabs>
          <w:tab w:val="left" w:pos="780"/>
        </w:tabs>
        <w:spacing w:after="0" w:line="373" w:lineRule="exact"/>
        <w:ind w:firstLine="478"/>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年来，我们在推动大学自主办学方面做了很多工作，大学的自主权在逐步增强。但是，大学的内、外部管理，行政色彩还比较浓，在治理模式上缺乏有法定意义的组织规程，因此经常陷入权力放与收的循环。</w:t>
      </w:r>
    </w:p>
    <w:p>
      <w:pPr>
        <w:spacing w:after="0" w:line="201" w:lineRule="exact"/>
        <w:rPr>
          <w:rFonts w:ascii="宋体" w:hAnsi="宋体" w:eastAsia="宋体" w:cs="宋体"/>
          <w:color w:val="auto"/>
          <w:sz w:val="24"/>
          <w:szCs w:val="24"/>
          <w:shd w:val="clear" w:color="auto" w:fill="auto"/>
        </w:rPr>
      </w:pPr>
    </w:p>
    <w:p>
      <w:pPr>
        <w:spacing w:after="0" w:line="373" w:lineRule="exact"/>
        <w:ind w:right="120" w:firstLine="480"/>
        <w:jc w:val="both"/>
        <w:rPr>
          <w:rFonts w:ascii="宋体" w:hAnsi="宋体" w:eastAsia="宋体" w:cs="宋体"/>
          <w:color w:val="auto"/>
          <w:sz w:val="24"/>
          <w:szCs w:val="24"/>
          <w:shd w:val="clear" w:color="auto" w:fill="auto"/>
        </w:rPr>
      </w:pPr>
      <w:r>
        <w:rPr>
          <w:rFonts w:ascii="宋体" w:hAnsi="宋体" w:eastAsia="宋体" w:cs="宋体"/>
          <w:color w:val="auto"/>
          <w:sz w:val="23"/>
          <w:szCs w:val="23"/>
          <w:shd w:val="clear" w:color="auto" w:fill="auto"/>
        </w:rPr>
        <w:t>大学需要自主办学，但政府也不能放弃应有的责任。这可以在宏观有序、微观搞活原则的指导下，在高等教育法和大学章程的框架下，通过推进政府对大学的契约式管理来实现，即政府对大学提出目标和要求、提供财政及政策支持、进行绩效评估，大学在</w:t>
      </w:r>
    </w:p>
    <w:p>
      <w:pPr>
        <w:spacing w:after="0" w:line="352"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42</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45" w:name="page45"/>
      <w:bookmarkEnd w:id="45"/>
    </w:p>
    <w:p>
      <w:pPr>
        <w:spacing w:after="0" w:line="339" w:lineRule="exact"/>
        <w:ind w:right="120"/>
        <w:rPr>
          <w:color w:val="auto"/>
          <w:sz w:val="20"/>
          <w:szCs w:val="20"/>
          <w:shd w:val="clear" w:color="auto" w:fill="auto"/>
        </w:rPr>
      </w:pPr>
      <w:r>
        <w:rPr>
          <w:rFonts w:ascii="宋体" w:hAnsi="宋体" w:eastAsia="宋体" w:cs="宋体"/>
          <w:color w:val="auto"/>
          <w:sz w:val="24"/>
          <w:szCs w:val="24"/>
          <w:shd w:val="clear" w:color="auto" w:fill="auto"/>
        </w:rPr>
        <w:t>宏观框架内实行自主办学。日本的国立大学法人化改革、法国对大学的合同管理等都反映出了这种趋势。</w:t>
      </w:r>
    </w:p>
    <w:p>
      <w:pPr>
        <w:spacing w:after="0" w:line="202" w:lineRule="exact"/>
        <w:rPr>
          <w:color w:val="auto"/>
          <w:sz w:val="20"/>
          <w:szCs w:val="20"/>
          <w:shd w:val="clear" w:color="auto" w:fill="auto"/>
        </w:rPr>
      </w:pPr>
    </w:p>
    <w:p>
      <w:pPr>
        <w:spacing w:after="0" w:line="373"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高等教育法规定，高等学校自批准之日起取得法人资格。大学法人需明晰两种关系：一是办学的外部关系，即所谓的面向社会和依法办学；二是办学的内部关系，即自我管理和约束机制。第一种关系主要由法律明确，章程承接一下；第二种关系主要由章程明</w:t>
      </w:r>
    </w:p>
    <w:p>
      <w:pPr>
        <w:spacing w:after="0" w:line="185" w:lineRule="exact"/>
        <w:rPr>
          <w:color w:val="auto"/>
          <w:sz w:val="20"/>
          <w:szCs w:val="20"/>
          <w:shd w:val="clear" w:color="auto" w:fill="auto"/>
        </w:rPr>
      </w:pPr>
    </w:p>
    <w:p>
      <w:pPr>
        <w:spacing w:after="0" w:line="394" w:lineRule="exact"/>
        <w:rPr>
          <w:color w:val="auto"/>
          <w:sz w:val="20"/>
          <w:szCs w:val="20"/>
          <w:shd w:val="clear" w:color="auto" w:fill="auto"/>
        </w:rPr>
      </w:pPr>
      <w:r>
        <w:rPr>
          <w:rFonts w:ascii="宋体" w:hAnsi="宋体" w:eastAsia="宋体" w:cs="宋体"/>
          <w:color w:val="auto"/>
          <w:sz w:val="24"/>
          <w:szCs w:val="24"/>
          <w:shd w:val="clear" w:color="auto" w:fill="auto"/>
        </w:rPr>
        <w:t>确，辅之于具体的规章。因此，大学章程上承国家教育法律法规、下启学校规章制度</w:t>
      </w:r>
      <w:r>
        <w:rPr>
          <w:rFonts w:ascii="宋体" w:hAnsi="宋体" w:eastAsia="宋体" w:cs="宋体"/>
          <w:color w:val="auto"/>
          <w:sz w:val="24"/>
          <w:szCs w:val="24"/>
          <w:shd w:val="clear" w:color="auto" w:fill="auto"/>
          <w:vertAlign w:val="superscript"/>
        </w:rPr>
        <w:t>[ 1]</w:t>
      </w:r>
      <w:r>
        <w:rPr>
          <w:rFonts w:ascii="宋体" w:hAnsi="宋体" w:eastAsia="宋体" w:cs="宋体"/>
          <w:color w:val="auto"/>
          <w:sz w:val="24"/>
          <w:szCs w:val="24"/>
          <w:shd w:val="clear" w:color="auto" w:fill="auto"/>
        </w:rPr>
        <w:t>，是推动和规范大学面向社会依法自主办学的基本依据，是处理学校与政府、社会及其内部关系的准则，是大学在法律框架下行使自治权利的自我规范， 有大学宪法之称， 具有法律效力。</w:t>
      </w:r>
    </w:p>
    <w:p>
      <w:pPr>
        <w:spacing w:after="0" w:line="172"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二、大学章程的历史沿革与地位作用</w:t>
      </w:r>
    </w:p>
    <w:p>
      <w:pPr>
        <w:spacing w:after="0" w:line="197" w:lineRule="exact"/>
        <w:rPr>
          <w:color w:val="auto"/>
          <w:sz w:val="20"/>
          <w:szCs w:val="20"/>
          <w:shd w:val="clear" w:color="auto" w:fill="auto"/>
        </w:rPr>
      </w:pPr>
    </w:p>
    <w:p>
      <w:pPr>
        <w:spacing w:after="0" w:line="415" w:lineRule="exact"/>
        <w:ind w:firstLine="492"/>
        <w:jc w:val="both"/>
        <w:rPr>
          <w:color w:val="auto"/>
          <w:sz w:val="20"/>
          <w:szCs w:val="20"/>
          <w:shd w:val="clear" w:color="auto" w:fill="auto"/>
        </w:rPr>
      </w:pPr>
      <w:r>
        <w:rPr>
          <w:rFonts w:ascii="宋体" w:hAnsi="宋体" w:eastAsia="宋体" w:cs="宋体"/>
          <w:color w:val="auto"/>
          <w:sz w:val="24"/>
          <w:szCs w:val="24"/>
          <w:shd w:val="clear" w:color="auto" w:fill="auto"/>
        </w:rPr>
        <w:t>由于各个时期、不同国家大学发展背景的差异，大学组织规程有不同的表述方式，其英文有如下表述。大学历史悠久的法国为 Statutes（法规，章程）及 Ordinance（ 法令），英国上有 Charter（特许状，授予特种权利的法令或正式文件）下有 Statutes（ 章程，条例），德国有 Statutes 和 Constitution（章程，宪法），美国有 Charter、Bylaws（地方法规，内部章程，细则）、Statutes 多种表述方法，日本将其称之为 Charter（宪章，共同纲领），我国香港地区上为 Ordinance（ 法令，条例）下为 Statutes（规程）。叫法虽异但其本质内容却有着一致性或相似性，本文笼统冠之以大学章程之名而进行探讨。</w:t>
      </w:r>
    </w:p>
    <w:p>
      <w:pPr>
        <w:spacing w:after="0" w:line="185"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（一）大学章程产生的背景与历史</w:t>
      </w:r>
    </w:p>
    <w:p>
      <w:pPr>
        <w:spacing w:after="0" w:line="189" w:lineRule="exact"/>
        <w:rPr>
          <w:color w:val="auto"/>
          <w:sz w:val="20"/>
          <w:szCs w:val="20"/>
          <w:shd w:val="clear" w:color="auto" w:fill="auto"/>
        </w:rPr>
      </w:pPr>
    </w:p>
    <w:p>
      <w:pPr>
        <w:spacing w:after="0" w:line="340" w:lineRule="exact"/>
        <w:ind w:right="120" w:firstLine="480"/>
        <w:rPr>
          <w:color w:val="auto"/>
          <w:sz w:val="20"/>
          <w:szCs w:val="20"/>
          <w:shd w:val="clear" w:color="auto" w:fill="auto"/>
        </w:rPr>
      </w:pPr>
      <w:r>
        <w:rPr>
          <w:rFonts w:ascii="宋体" w:hAnsi="宋体" w:eastAsia="宋体" w:cs="宋体"/>
          <w:color w:val="auto"/>
          <w:sz w:val="24"/>
          <w:szCs w:val="24"/>
          <w:shd w:val="clear" w:color="auto" w:fill="auto"/>
        </w:rPr>
        <w:t>历史上总体的脉络是先有特许状后有章程，但后来因时代和国别不同它们也交织在一起。特许状和章程尽管有不少共性的东西，但它们毕竟还是有所不同的。</w:t>
      </w:r>
    </w:p>
    <w:p>
      <w:pPr>
        <w:spacing w:after="0" w:line="16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1.大学特许状</w:t>
      </w:r>
    </w:p>
    <w:p>
      <w:pPr>
        <w:spacing w:after="0" w:line="199" w:lineRule="exact"/>
        <w:rPr>
          <w:color w:val="auto"/>
          <w:sz w:val="20"/>
          <w:szCs w:val="20"/>
          <w:shd w:val="clear" w:color="auto" w:fill="auto"/>
        </w:rPr>
      </w:pPr>
    </w:p>
    <w:p>
      <w:pPr>
        <w:spacing w:after="0" w:line="373" w:lineRule="exact"/>
        <w:ind w:firstLine="480"/>
        <w:rPr>
          <w:color w:val="auto"/>
          <w:sz w:val="20"/>
          <w:szCs w:val="20"/>
          <w:shd w:val="clear" w:color="auto" w:fill="auto"/>
        </w:rPr>
      </w:pPr>
      <w:r>
        <w:rPr>
          <w:rFonts w:ascii="宋体" w:hAnsi="宋体" w:eastAsia="宋体" w:cs="宋体"/>
          <w:color w:val="auto"/>
          <w:sz w:val="24"/>
          <w:szCs w:val="24"/>
          <w:shd w:val="clear" w:color="auto" w:fill="auto"/>
        </w:rPr>
        <w:t>现代法人的概念与早期的特许法人有着渊源关系，罗马法中出现的特许法人是最早的法人形式。特许法人不是自我形成的，而必须由外部权威创立。在当时的社会治理中，经由特许状而获得法人资格是唯一设立法人团体的途径。</w:t>
      </w:r>
    </w:p>
    <w:p>
      <w:pPr>
        <w:spacing w:after="0" w:line="201" w:lineRule="exact"/>
        <w:rPr>
          <w:color w:val="auto"/>
          <w:sz w:val="20"/>
          <w:szCs w:val="20"/>
          <w:shd w:val="clear" w:color="auto" w:fill="auto"/>
        </w:rPr>
      </w:pPr>
    </w:p>
    <w:p>
      <w:pPr>
        <w:spacing w:after="0" w:line="407" w:lineRule="exact"/>
        <w:ind w:firstLine="480"/>
        <w:rPr>
          <w:color w:val="auto"/>
          <w:sz w:val="20"/>
          <w:szCs w:val="20"/>
          <w:shd w:val="clear" w:color="auto" w:fill="auto"/>
        </w:rPr>
      </w:pPr>
      <w:r>
        <w:rPr>
          <w:rFonts w:ascii="宋体" w:hAnsi="宋体" w:eastAsia="宋体" w:cs="宋体"/>
          <w:color w:val="auto"/>
          <w:sz w:val="23"/>
          <w:szCs w:val="23"/>
          <w:shd w:val="clear" w:color="auto" w:fill="auto"/>
        </w:rPr>
        <w:t>大学是最早的特许法人之一。借鉴中世纪的行会组织，巴黎大学的教师经过艰苦斗争逐渐获得了当时行会所能有的特许权，也审时度势地创造了他们所需要的自治机构。按照欧洲中世纪的传统，大学特许状由教皇或国王颁发，赋予大学开设课程、招收学生、聘请教师、制定学术标准的权利。大学特许状的权威性首先来自于教权，中世纪教会拥有足以与世俗权力抗衡的权力，因此，教会颁发的特许状赋予了大学诸多特权，但宗教改革之后赋予大学特权的特许状主要来自于王权和国家权力。英国牛津、剑桥、格拉斯</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43</w:t>
      </w:r>
    </w:p>
    <w:p>
      <w:pPr>
        <w:rPr>
          <w:shd w:val="clear" w:color="auto" w:fill="auto"/>
        </w:rPr>
        <w:sectPr>
          <w:pgSz w:w="11900" w:h="16840"/>
          <w:pgMar w:top="1440" w:right="1304" w:bottom="587" w:left="1420" w:header="0" w:footer="0" w:gutter="0"/>
          <w:cols w:equalWidth="0" w:num="1">
            <w:col w:w="9180"/>
          </w:cols>
        </w:sectPr>
      </w:pPr>
    </w:p>
    <w:p>
      <w:pPr>
        <w:spacing w:after="0" w:line="107" w:lineRule="exact"/>
        <w:rPr>
          <w:color w:val="auto"/>
          <w:sz w:val="20"/>
          <w:szCs w:val="20"/>
          <w:shd w:val="clear" w:color="auto" w:fill="auto"/>
        </w:rPr>
      </w:pPr>
      <w:bookmarkStart w:id="46" w:name="page46"/>
      <w:bookmarkEnd w:id="46"/>
    </w:p>
    <w:p>
      <w:pPr>
        <w:spacing w:after="0" w:line="348" w:lineRule="exact"/>
        <w:ind w:right="20"/>
        <w:jc w:val="both"/>
        <w:rPr>
          <w:color w:val="auto"/>
          <w:sz w:val="20"/>
          <w:szCs w:val="20"/>
          <w:shd w:val="clear" w:color="auto" w:fill="auto"/>
        </w:rPr>
      </w:pPr>
      <w:r>
        <w:rPr>
          <w:rFonts w:ascii="宋体" w:hAnsi="宋体" w:eastAsia="宋体" w:cs="宋体"/>
          <w:color w:val="auto"/>
          <w:sz w:val="23"/>
          <w:szCs w:val="23"/>
          <w:shd w:val="clear" w:color="auto" w:fill="auto"/>
        </w:rPr>
        <w:t>哥等古老大学都首先经由教皇颁发特许状成立，</w:t>
      </w:r>
      <w:r>
        <w:rPr>
          <w:rFonts w:ascii="宋体" w:hAnsi="宋体" w:eastAsia="宋体" w:cs="宋体"/>
          <w:color w:val="auto"/>
          <w:sz w:val="23"/>
          <w:szCs w:val="23"/>
          <w:shd w:val="clear" w:color="auto" w:fill="auto"/>
          <w:vertAlign w:val="superscript"/>
        </w:rPr>
        <w:t>[ 2]</w:t>
      </w:r>
      <w:r>
        <w:rPr>
          <w:rFonts w:ascii="宋体" w:hAnsi="宋体" w:eastAsia="宋体" w:cs="宋体"/>
          <w:color w:val="auto"/>
          <w:sz w:val="23"/>
          <w:szCs w:val="23"/>
          <w:shd w:val="clear" w:color="auto" w:fill="auto"/>
        </w:rPr>
        <w:t xml:space="preserve"> 牛津、剑桥虽然早期并没有整体得到过皇家特许状，但其所属的学院几乎都是根据皇家特许状而成立的，并在成立伊始就拥</w:t>
      </w:r>
    </w:p>
    <w:p>
      <w:pPr>
        <w:spacing w:after="0" w:line="184" w:lineRule="exact"/>
        <w:rPr>
          <w:color w:val="auto"/>
          <w:sz w:val="20"/>
          <w:szCs w:val="20"/>
          <w:shd w:val="clear" w:color="auto" w:fill="auto"/>
        </w:rPr>
      </w:pPr>
    </w:p>
    <w:p>
      <w:pPr>
        <w:spacing w:after="0" w:line="394" w:lineRule="exact"/>
        <w:ind w:right="20"/>
        <w:jc w:val="both"/>
        <w:rPr>
          <w:color w:val="auto"/>
          <w:sz w:val="20"/>
          <w:szCs w:val="20"/>
          <w:shd w:val="clear" w:color="auto" w:fill="auto"/>
        </w:rPr>
      </w:pPr>
      <w:r>
        <w:rPr>
          <w:rFonts w:ascii="宋体" w:hAnsi="宋体" w:eastAsia="宋体" w:cs="宋体"/>
          <w:color w:val="auto"/>
          <w:sz w:val="24"/>
          <w:szCs w:val="24"/>
          <w:shd w:val="clear" w:color="auto" w:fill="auto"/>
        </w:rPr>
        <w:t>有独立的法人地位，</w:t>
      </w:r>
      <w:r>
        <w:rPr>
          <w:rFonts w:ascii="宋体" w:hAnsi="宋体" w:eastAsia="宋体" w:cs="宋体"/>
          <w:color w:val="auto"/>
          <w:sz w:val="24"/>
          <w:szCs w:val="24"/>
          <w:shd w:val="clear" w:color="auto" w:fill="auto"/>
          <w:vertAlign w:val="superscript"/>
        </w:rPr>
        <w:t>[3]</w:t>
      </w:r>
      <w:r>
        <w:rPr>
          <w:rFonts w:ascii="宋体" w:hAnsi="宋体" w:eastAsia="宋体" w:cs="宋体"/>
          <w:color w:val="auto"/>
          <w:sz w:val="24"/>
          <w:szCs w:val="24"/>
          <w:shd w:val="clear" w:color="auto" w:fill="auto"/>
        </w:rPr>
        <w:t xml:space="preserve"> 其后很多英国大学系据皇家特许状而建立。发源于殖民地时期学院的美国大学，其最初的合法性也是源自特许状， 如 1636 年成立的哈佛学院 1650 年获得马萨诸塞议会为其颁发的特许状， 威廉玛丽学院于 1693 年得到英国皇家特许状而成立。</w:t>
      </w:r>
    </w:p>
    <w:p>
      <w:pPr>
        <w:spacing w:after="0" w:line="203" w:lineRule="exact"/>
        <w:rPr>
          <w:color w:val="auto"/>
          <w:sz w:val="20"/>
          <w:szCs w:val="20"/>
          <w:shd w:val="clear" w:color="auto" w:fill="auto"/>
        </w:rPr>
      </w:pPr>
    </w:p>
    <w:p>
      <w:pPr>
        <w:spacing w:after="0" w:line="411" w:lineRule="exact"/>
        <w:ind w:right="20" w:firstLine="480"/>
        <w:jc w:val="both"/>
        <w:rPr>
          <w:color w:val="auto"/>
          <w:sz w:val="20"/>
          <w:szCs w:val="20"/>
          <w:shd w:val="clear" w:color="auto" w:fill="auto"/>
        </w:rPr>
      </w:pPr>
      <w:r>
        <w:rPr>
          <w:rFonts w:ascii="宋体" w:hAnsi="宋体" w:eastAsia="宋体" w:cs="宋体"/>
          <w:color w:val="auto"/>
          <w:sz w:val="24"/>
          <w:szCs w:val="24"/>
          <w:shd w:val="clear" w:color="auto" w:fill="auto"/>
        </w:rPr>
        <w:t>在中世纪，大学特许状所赋予大学的权利甚至是超世俗的，享有独立的司法权，凌驾于地方法律之上。如学生不受所在地法律约束，因而屡生事端。英国 1209 年牛津大学的罢教和东迁，作为地方妥协的结果，1214 年部分迁徙的师生重新回到牛津，牛津市长被要求发誓尊重大学的自由和习惯。在地位上，特许状有点像当今的执照或政府批文，是界定大学与政府之间权利义务关系框架的法律性文件。但其内容非常详细：确立大学特许法人的法律地位，规定大学内部法人治理结构，纲领性地划分大学内部各方的权力、职责。</w:t>
      </w:r>
    </w:p>
    <w:p>
      <w:pPr>
        <w:spacing w:after="0" w:line="171"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2.大学章程</w:t>
      </w:r>
    </w:p>
    <w:p>
      <w:pPr>
        <w:spacing w:after="0" w:line="200" w:lineRule="exact"/>
        <w:rPr>
          <w:color w:val="auto"/>
          <w:sz w:val="20"/>
          <w:szCs w:val="20"/>
          <w:shd w:val="clear" w:color="auto" w:fill="auto"/>
        </w:rPr>
      </w:pPr>
    </w:p>
    <w:p>
      <w:pPr>
        <w:spacing w:after="0" w:line="394" w:lineRule="exact"/>
        <w:ind w:right="20" w:firstLine="480"/>
        <w:jc w:val="both"/>
        <w:rPr>
          <w:color w:val="auto"/>
          <w:sz w:val="20"/>
          <w:szCs w:val="20"/>
          <w:shd w:val="clear" w:color="auto" w:fill="auto"/>
        </w:rPr>
      </w:pPr>
      <w:r>
        <w:rPr>
          <w:rFonts w:ascii="宋体" w:hAnsi="宋体" w:eastAsia="宋体" w:cs="宋体"/>
          <w:color w:val="auto"/>
          <w:sz w:val="24"/>
          <w:szCs w:val="24"/>
          <w:shd w:val="clear" w:color="auto" w:fill="auto"/>
        </w:rPr>
        <w:t>巴黎大学取得行会式特许权并成为自治机构，重要特征便是拥有自己的章程，有权要求其成员做遵守其章程的宣誓，有权开除违规者。</w:t>
      </w:r>
      <w:r>
        <w:rPr>
          <w:rFonts w:ascii="宋体" w:hAnsi="宋体" w:eastAsia="宋体" w:cs="宋体"/>
          <w:color w:val="auto"/>
          <w:sz w:val="24"/>
          <w:szCs w:val="24"/>
          <w:shd w:val="clear" w:color="auto" w:fill="auto"/>
          <w:vertAlign w:val="superscript"/>
        </w:rPr>
        <w:t>[4]</w:t>
      </w:r>
      <w:r>
        <w:rPr>
          <w:rFonts w:ascii="宋体" w:hAnsi="宋体" w:eastAsia="宋体" w:cs="宋体"/>
          <w:color w:val="auto"/>
          <w:sz w:val="24"/>
          <w:szCs w:val="24"/>
          <w:shd w:val="clear" w:color="auto" w:fill="auto"/>
        </w:rPr>
        <w:t xml:space="preserve"> 巴黎大学最早的章程，当属 1215 年的章程，为教皇特使为巴黎大学制订，</w:t>
      </w:r>
      <w:r>
        <w:rPr>
          <w:rFonts w:ascii="宋体" w:hAnsi="宋体" w:eastAsia="宋体" w:cs="宋体"/>
          <w:color w:val="auto"/>
          <w:sz w:val="24"/>
          <w:szCs w:val="24"/>
          <w:shd w:val="clear" w:color="auto" w:fill="auto"/>
          <w:vertAlign w:val="superscript"/>
        </w:rPr>
        <w:t>[5]</w:t>
      </w:r>
      <w:r>
        <w:rPr>
          <w:rFonts w:ascii="宋体" w:hAnsi="宋体" w:eastAsia="宋体" w:cs="宋体"/>
          <w:color w:val="auto"/>
          <w:sz w:val="24"/>
          <w:szCs w:val="24"/>
          <w:shd w:val="clear" w:color="auto" w:fill="auto"/>
        </w:rPr>
        <w:t>但 1231 年教皇格雷古瓦九世发布谕旨同意颁发的新章程被称为创办巴黎大学真正的大宪章。</w:t>
      </w:r>
      <w:r>
        <w:rPr>
          <w:rFonts w:ascii="宋体" w:hAnsi="宋体" w:eastAsia="宋体" w:cs="宋体"/>
          <w:color w:val="auto"/>
          <w:sz w:val="24"/>
          <w:szCs w:val="24"/>
          <w:shd w:val="clear" w:color="auto" w:fill="auto"/>
          <w:vertAlign w:val="superscript"/>
        </w:rPr>
        <w:t>[6]</w:t>
      </w:r>
    </w:p>
    <w:p>
      <w:pPr>
        <w:spacing w:after="0" w:line="186" w:lineRule="exact"/>
        <w:rPr>
          <w:color w:val="auto"/>
          <w:sz w:val="20"/>
          <w:szCs w:val="20"/>
          <w:shd w:val="clear" w:color="auto" w:fill="auto"/>
        </w:rPr>
      </w:pPr>
    </w:p>
    <w:p>
      <w:pPr>
        <w:spacing w:after="0" w:line="389"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英国大学章程依据特许状或国会法案而制订。 在高等教育的治理制度中，大学章程起着核心的作用，规定了政府如何介入、在什么范围和多大程度上介入大学治理， 社会在什么范围和多大程度上参与大学治理， 大学如何在适应社会发展要求和保持大学自治、学术自由中取得平衡。</w:t>
      </w:r>
    </w:p>
    <w:p>
      <w:pPr>
        <w:spacing w:after="0" w:line="203" w:lineRule="exact"/>
        <w:rPr>
          <w:color w:val="auto"/>
          <w:sz w:val="20"/>
          <w:szCs w:val="20"/>
          <w:shd w:val="clear" w:color="auto" w:fill="auto"/>
        </w:rPr>
      </w:pPr>
    </w:p>
    <w:p>
      <w:pPr>
        <w:spacing w:after="0" w:line="407"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德国的高等教育产生于中世纪晚期，虽然采取了巴黎大学自治团体的模式，但它不是作为学者联合体自发产生的，而是由代表封建邦国的诸侯建立的， 因此大学既是国家机构又是社团法人。大学在获得建立教育机构许可的同时，必须提出自己的大学章程作为其基本。章程制订后，不能随意改动，改动要经过严格的程序。1737 年成立的哥廷根大学，其哲学院章程规定所有教授，只要不涉及损害宗教、国家和道德的学说，都应享有教学和思想自由这种责任攸关的权利，这是德国第一次在法律的意义上申明学术自</w:t>
      </w:r>
    </w:p>
    <w:p>
      <w:pPr>
        <w:spacing w:after="0" w:line="18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由的原则，因此被看做是德国大学史上的一个里程碑。</w:t>
      </w:r>
      <w:r>
        <w:rPr>
          <w:rFonts w:ascii="宋体" w:hAnsi="宋体" w:eastAsia="宋体" w:cs="宋体"/>
          <w:color w:val="auto"/>
          <w:sz w:val="24"/>
          <w:szCs w:val="24"/>
          <w:shd w:val="clear" w:color="auto" w:fill="auto"/>
          <w:vertAlign w:val="superscript"/>
        </w:rPr>
        <w:t>[7]</w:t>
      </w:r>
    </w:p>
    <w:p>
      <w:pPr>
        <w:spacing w:after="0" w:line="184" w:lineRule="exact"/>
        <w:rPr>
          <w:color w:val="auto"/>
          <w:sz w:val="20"/>
          <w:szCs w:val="20"/>
          <w:shd w:val="clear" w:color="auto" w:fill="auto"/>
        </w:rPr>
      </w:pPr>
    </w:p>
    <w:p>
      <w:pPr>
        <w:spacing w:after="0" w:line="340" w:lineRule="exact"/>
        <w:ind w:right="20" w:firstLine="480"/>
        <w:jc w:val="both"/>
        <w:rPr>
          <w:color w:val="auto"/>
          <w:sz w:val="20"/>
          <w:szCs w:val="20"/>
          <w:shd w:val="clear" w:color="auto" w:fill="auto"/>
        </w:rPr>
      </w:pPr>
      <w:r>
        <w:rPr>
          <w:rFonts w:ascii="宋体" w:hAnsi="宋体" w:eastAsia="宋体" w:cs="宋体"/>
          <w:color w:val="auto"/>
          <w:sz w:val="23"/>
          <w:szCs w:val="23"/>
          <w:shd w:val="clear" w:color="auto" w:fill="auto"/>
        </w:rPr>
        <w:t>美国大学的章程以特许状为基础演变而来，如建立于殖民地时期的那些后来成为世界著名私立大学的大学章程就起源于英国王室或殖民地议会颁发的特许状。而建国后成</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44</w:t>
      </w:r>
    </w:p>
    <w:p>
      <w:pPr>
        <w:rPr>
          <w:shd w:val="clear" w:color="auto" w:fill="auto"/>
        </w:rPr>
        <w:sectPr>
          <w:pgSz w:w="11900" w:h="16840"/>
          <w:pgMar w:top="1440" w:right="1404" w:bottom="587" w:left="1420" w:header="0" w:footer="0" w:gutter="0"/>
          <w:cols w:equalWidth="0" w:num="1">
            <w:col w:w="9080"/>
          </w:cols>
        </w:sectPr>
      </w:pPr>
    </w:p>
    <w:p>
      <w:pPr>
        <w:spacing w:after="0" w:line="124" w:lineRule="exact"/>
        <w:rPr>
          <w:color w:val="auto"/>
          <w:sz w:val="20"/>
          <w:szCs w:val="20"/>
          <w:shd w:val="clear" w:color="auto" w:fill="auto"/>
        </w:rPr>
      </w:pPr>
      <w:bookmarkStart w:id="47" w:name="page47"/>
      <w:bookmarkEnd w:id="47"/>
    </w:p>
    <w:p>
      <w:pPr>
        <w:spacing w:after="0" w:line="373" w:lineRule="exact"/>
        <w:ind w:right="60"/>
        <w:jc w:val="both"/>
        <w:rPr>
          <w:color w:val="auto"/>
          <w:sz w:val="20"/>
          <w:szCs w:val="20"/>
          <w:shd w:val="clear" w:color="auto" w:fill="auto"/>
        </w:rPr>
      </w:pPr>
      <w:r>
        <w:rPr>
          <w:rFonts w:ascii="宋体" w:hAnsi="宋体" w:eastAsia="宋体" w:cs="宋体"/>
          <w:color w:val="auto"/>
          <w:sz w:val="24"/>
          <w:szCs w:val="24"/>
          <w:shd w:val="clear" w:color="auto" w:fill="auto"/>
        </w:rPr>
        <w:t>立的私立学校，其创办要得到当地州政府的签准，因此，其章程制订及其法律效力渊源于本州的相关法律法规。对公立院校来说，通常由各州议会通过立法而建立，大学章程的法律效力一般源自联邦或州立法。</w:t>
      </w:r>
    </w:p>
    <w:p>
      <w:pPr>
        <w:spacing w:after="0" w:line="201" w:lineRule="exact"/>
        <w:rPr>
          <w:color w:val="auto"/>
          <w:sz w:val="20"/>
          <w:szCs w:val="20"/>
          <w:shd w:val="clear" w:color="auto" w:fill="auto"/>
        </w:rPr>
      </w:pPr>
    </w:p>
    <w:p>
      <w:pPr>
        <w:spacing w:after="0" w:line="400"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日本大学原来并没有章程，但伴随着先期启动并 2004 年 4 月正式实施的大学法人化改革，从明治时期开始的一百多年来政府对大学的传统管理模式发生了巨大变化，各个大学都在重新研讨自身定位和未来发展目标，大学宪章作为一种新制度管理下的新形式应运而生。2003 年 3 月 18 日召开的东京大学评议会通过了东京大学宪章，之后在东京大学宪章范本的引领下，各国公立大学纷纷效仿。</w:t>
      </w:r>
    </w:p>
    <w:p>
      <w:pPr>
        <w:spacing w:after="0" w:line="180"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（二）大学章程的治理意义</w:t>
      </w:r>
    </w:p>
    <w:p>
      <w:pPr>
        <w:spacing w:after="0" w:line="190" w:lineRule="exact"/>
        <w:rPr>
          <w:color w:val="auto"/>
          <w:sz w:val="20"/>
          <w:szCs w:val="20"/>
          <w:shd w:val="clear" w:color="auto" w:fill="auto"/>
        </w:rPr>
      </w:pPr>
    </w:p>
    <w:p>
      <w:pPr>
        <w:spacing w:after="0" w:line="339"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办学不仅是大学内部的事情，还涉及到大学与政府、与社会各方面的关系。 章程就是规矩，体现着法治精神， 前提是大学取得办学自主权。</w:t>
      </w:r>
    </w:p>
    <w:p>
      <w:pPr>
        <w:spacing w:after="0" w:line="168"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1.章程是大学依法自主办学的产物</w:t>
      </w:r>
    </w:p>
    <w:p>
      <w:pPr>
        <w:spacing w:after="0" w:line="200" w:lineRule="exact"/>
        <w:rPr>
          <w:color w:val="auto"/>
          <w:sz w:val="20"/>
          <w:szCs w:val="20"/>
          <w:shd w:val="clear" w:color="auto" w:fill="auto"/>
        </w:rPr>
      </w:pPr>
    </w:p>
    <w:p>
      <w:pPr>
        <w:spacing w:after="0" w:line="412"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在中世纪，大学经由特许状而获得独立于出资人和举办人的独立法人地位，享有学术自由和独立的财产权，并享有独立于股东或发起人的永久存续权。如伯明翰大学皇家特许状开篇即以皇室的名义对大学的成立加以允可，规定大学自建立起，即以该大学的名称永久存续，并拥有完整的权利和能力，可以此名称起诉或被诉，并承担、坚持和作为所有其他的合法行为。特许状的契约性质还限制了政府任意改变大学的权利义务范围和性质的能力，根据英国高等教育法专家法灵顿（D.J.Farring ton）的研究，英国政府只有在三种情况下才能修改特许状：在原特许状中明确地保留了修改特许状的权力，</w:t>
      </w:r>
    </w:p>
    <w:p>
      <w:pPr>
        <w:spacing w:after="0" w:line="185"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该法人已经处于瘫痪或半瘫痪状态，法人同意修改特许状。</w:t>
      </w:r>
      <w:r>
        <w:rPr>
          <w:rFonts w:ascii="宋体" w:hAnsi="宋体" w:eastAsia="宋体" w:cs="宋体"/>
          <w:color w:val="auto"/>
          <w:sz w:val="24"/>
          <w:szCs w:val="24"/>
          <w:shd w:val="clear" w:color="auto" w:fill="auto"/>
          <w:vertAlign w:val="superscript"/>
        </w:rPr>
        <w:t>[8]</w:t>
      </w:r>
    </w:p>
    <w:p>
      <w:pPr>
        <w:spacing w:after="0" w:line="184" w:lineRule="exact"/>
        <w:rPr>
          <w:color w:val="auto"/>
          <w:sz w:val="20"/>
          <w:szCs w:val="20"/>
          <w:shd w:val="clear" w:color="auto" w:fill="auto"/>
        </w:rPr>
      </w:pPr>
    </w:p>
    <w:p>
      <w:pPr>
        <w:spacing w:after="0" w:line="421" w:lineRule="exact"/>
        <w:ind w:right="60" w:firstLine="480"/>
        <w:jc w:val="both"/>
        <w:rPr>
          <w:color w:val="auto"/>
          <w:sz w:val="20"/>
          <w:szCs w:val="20"/>
          <w:shd w:val="clear" w:color="auto" w:fill="auto"/>
        </w:rPr>
      </w:pPr>
      <w:r>
        <w:rPr>
          <w:rFonts w:ascii="宋体" w:hAnsi="宋体" w:eastAsia="宋体" w:cs="宋体"/>
          <w:color w:val="auto"/>
          <w:sz w:val="23"/>
          <w:szCs w:val="23"/>
          <w:shd w:val="clear" w:color="auto" w:fill="auto"/>
        </w:rPr>
        <w:t>为了使大学真正拥有办学的自主权，通过立法确立其自主地位，通过章程确定其运行规则，是现代西方市场经济发达国家的普遍做法。法国有关高等教育法案赋予了大学的教学与学术、行政与财政自治权利，规定以科学、文化和职业为特点的公立机构为国立高等教育和科学研究机构，具有法人资格，在教学、研究、行政、财政方面享有自主权，同时又要求大学依据法律由校务委员会的多数决定自身章程和内部结构：英国大学自古就有高度自治和学术自由的传统，在法理上，大学和学院属于私人部门机构（private sector institutions），拥有很大的自主权，大学特许状、章程对此均有明确界说，政府不能插手大学内部的资源分配、课程设置、学位授予等事务；引导 19 世纪初期德国大学改革的思想家们认为，大学只有获得自由，才能很好地完成历史赋予它们的使命， 而大学自由的制度保障只能是大学自治， 在以此大学理念指导下形成的制度中，大学虽为政府所立，却享有充分的自治权；日本在法人化改革中产生的东京大学</w:t>
      </w:r>
    </w:p>
    <w:p>
      <w:pPr>
        <w:spacing w:after="0" w:line="200" w:lineRule="exact"/>
        <w:rPr>
          <w:color w:val="auto"/>
          <w:sz w:val="20"/>
          <w:szCs w:val="20"/>
          <w:shd w:val="clear" w:color="auto" w:fill="auto"/>
        </w:rPr>
      </w:pPr>
    </w:p>
    <w:p>
      <w:pPr>
        <w:spacing w:after="0" w:line="288"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45</w:t>
      </w:r>
    </w:p>
    <w:p>
      <w:pPr>
        <w:rPr>
          <w:shd w:val="clear" w:color="auto" w:fill="auto"/>
        </w:rPr>
        <w:sectPr>
          <w:pgSz w:w="11900" w:h="16840"/>
          <w:pgMar w:top="1440" w:right="1364" w:bottom="587" w:left="1420" w:header="0" w:footer="0" w:gutter="0"/>
          <w:cols w:equalWidth="0" w:num="1">
            <w:col w:w="9120"/>
          </w:cols>
        </w:sectPr>
      </w:pPr>
    </w:p>
    <w:p>
      <w:pPr>
        <w:spacing w:after="0" w:line="124" w:lineRule="exact"/>
        <w:rPr>
          <w:color w:val="auto"/>
          <w:sz w:val="20"/>
          <w:szCs w:val="20"/>
          <w:shd w:val="clear" w:color="auto" w:fill="auto"/>
        </w:rPr>
      </w:pPr>
      <w:bookmarkStart w:id="48" w:name="page48"/>
      <w:bookmarkEnd w:id="48"/>
    </w:p>
    <w:p>
      <w:pPr>
        <w:spacing w:after="0" w:line="339" w:lineRule="exact"/>
        <w:ind w:right="120"/>
        <w:jc w:val="both"/>
        <w:rPr>
          <w:color w:val="auto"/>
          <w:sz w:val="20"/>
          <w:szCs w:val="20"/>
          <w:shd w:val="clear" w:color="auto" w:fill="auto"/>
        </w:rPr>
      </w:pPr>
      <w:r>
        <w:rPr>
          <w:rFonts w:ascii="宋体" w:hAnsi="宋体" w:eastAsia="宋体" w:cs="宋体"/>
          <w:color w:val="auto"/>
          <w:sz w:val="24"/>
          <w:szCs w:val="24"/>
          <w:shd w:val="clear" w:color="auto" w:fill="auto"/>
        </w:rPr>
        <w:t>宪章提到：本宪章，是关于东京大学的组织结构、管理运营的基本原则，对于东京大学相关的规定，必须依据本宪章的基本意旨进行解释和运用施行。</w:t>
      </w:r>
    </w:p>
    <w:p>
      <w:pPr>
        <w:spacing w:after="0" w:line="202" w:lineRule="exact"/>
        <w:rPr>
          <w:color w:val="auto"/>
          <w:sz w:val="20"/>
          <w:szCs w:val="20"/>
          <w:shd w:val="clear" w:color="auto" w:fill="auto"/>
        </w:rPr>
      </w:pPr>
    </w:p>
    <w:p>
      <w:pPr>
        <w:spacing w:after="0" w:line="373"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大学因自主办学而需要有章程，大学章程会同有关法律，厘清了大学和政府及其他社会组织的界线，明确了大学自治的空间和自治权的范围，因而成为大学运行的合法依据，也从根本上确立了大学的管理运作体制。</w:t>
      </w:r>
    </w:p>
    <w:p>
      <w:pPr>
        <w:spacing w:after="0" w:line="167" w:lineRule="exact"/>
        <w:rPr>
          <w:color w:val="auto"/>
          <w:sz w:val="20"/>
          <w:szCs w:val="20"/>
          <w:shd w:val="clear" w:color="auto" w:fill="auto"/>
        </w:rPr>
      </w:pPr>
    </w:p>
    <w:p>
      <w:pPr>
        <w:numPr>
          <w:ilvl w:val="0"/>
          <w:numId w:val="11"/>
        </w:numPr>
        <w:tabs>
          <w:tab w:val="left" w:pos="840"/>
        </w:tabs>
        <w:spacing w:after="0" w:line="274" w:lineRule="exact"/>
        <w:ind w:left="840" w:hanging="36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章程是外部对大学实施影响的产物</w:t>
      </w:r>
    </w:p>
    <w:p>
      <w:pPr>
        <w:spacing w:after="0" w:line="166" w:lineRule="exact"/>
        <w:rPr>
          <w:rFonts w:ascii="宋体" w:hAnsi="宋体" w:eastAsia="宋体" w:cs="宋体"/>
          <w:color w:val="auto"/>
          <w:sz w:val="24"/>
          <w:szCs w:val="24"/>
          <w:shd w:val="clear" w:color="auto" w:fill="auto"/>
        </w:rPr>
      </w:pPr>
    </w:p>
    <w:p>
      <w:pPr>
        <w:spacing w:after="0" w:line="274" w:lineRule="exact"/>
        <w:ind w:left="480"/>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西方大学自成立以来，就一直是政教双方竞相争取的力量，并因特许而获得自治权</w:t>
      </w:r>
    </w:p>
    <w:p>
      <w:pPr>
        <w:spacing w:after="0" w:line="199" w:lineRule="exact"/>
        <w:rPr>
          <w:color w:val="auto"/>
          <w:sz w:val="20"/>
          <w:szCs w:val="20"/>
          <w:shd w:val="clear" w:color="auto" w:fill="auto"/>
        </w:rPr>
      </w:pPr>
    </w:p>
    <w:p>
      <w:pPr>
        <w:spacing w:after="0" w:line="373" w:lineRule="exact"/>
        <w:ind w:right="120"/>
        <w:jc w:val="both"/>
        <w:rPr>
          <w:color w:val="auto"/>
          <w:sz w:val="20"/>
          <w:szCs w:val="20"/>
          <w:shd w:val="clear" w:color="auto" w:fill="auto"/>
        </w:rPr>
      </w:pPr>
      <w:r>
        <w:rPr>
          <w:rFonts w:ascii="宋体" w:hAnsi="宋体" w:eastAsia="宋体" w:cs="宋体"/>
          <w:color w:val="auto"/>
          <w:sz w:val="23"/>
          <w:szCs w:val="23"/>
          <w:shd w:val="clear" w:color="auto" w:fill="auto"/>
        </w:rPr>
        <w:t>利。但是，大学的成长发展从来就不是孤立的自治，自诞生以来也从来就没有实现过完全的自治。 在其作为一个学术机构出现之后，就一直处于不同社会势力和力量的作用之下，最初是教会、皇帝、国王和城市的交互影响，之后是政府、市场和科学的相互作</w:t>
      </w:r>
    </w:p>
    <w:p>
      <w:pPr>
        <w:spacing w:after="0" w:line="185"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用。</w:t>
      </w:r>
      <w:r>
        <w:rPr>
          <w:rFonts w:ascii="宋体" w:hAnsi="宋体" w:eastAsia="宋体" w:cs="宋体"/>
          <w:color w:val="auto"/>
          <w:sz w:val="24"/>
          <w:szCs w:val="24"/>
          <w:shd w:val="clear" w:color="auto" w:fill="auto"/>
          <w:vertAlign w:val="superscript"/>
        </w:rPr>
        <w:t>[9]</w:t>
      </w:r>
      <w:r>
        <w:rPr>
          <w:rFonts w:ascii="宋体" w:hAnsi="宋体" w:eastAsia="宋体" w:cs="宋体"/>
          <w:color w:val="auto"/>
          <w:sz w:val="24"/>
          <w:szCs w:val="24"/>
          <w:shd w:val="clear" w:color="auto" w:fill="auto"/>
        </w:rPr>
        <w:t>自治是一个程度和范围的概念。</w:t>
      </w:r>
    </w:p>
    <w:p>
      <w:pPr>
        <w:spacing w:after="0" w:line="184" w:lineRule="exact"/>
        <w:rPr>
          <w:color w:val="auto"/>
          <w:sz w:val="20"/>
          <w:szCs w:val="20"/>
          <w:shd w:val="clear" w:color="auto" w:fill="auto"/>
        </w:rPr>
      </w:pPr>
    </w:p>
    <w:p>
      <w:pPr>
        <w:spacing w:after="0" w:line="390"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特许状或大学章程本来是大学自治的象征和保障，但在强权面前它们又是脆弱的。虽然教皇和法国国王相继给予巴黎大学以司法特权，但权力毕竟掌握在当权者手中，干涉大学自治易如反掌。13 世纪中期，法国亚历山大四世通过发布“新的光明之源”谕旨，表示支持托钵会修士，并毫不犹豫地取消了大学的特许权。随着西欧民族国家的进一步</w:t>
      </w:r>
    </w:p>
    <w:p>
      <w:pPr>
        <w:spacing w:after="0" w:line="187"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兴起，大学更进一步从桀骜的国王的大公主成为国王的掌中之物。</w:t>
      </w:r>
      <w:r>
        <w:rPr>
          <w:rFonts w:ascii="宋体" w:hAnsi="宋体" w:eastAsia="宋体" w:cs="宋体"/>
          <w:color w:val="auto"/>
          <w:sz w:val="24"/>
          <w:szCs w:val="24"/>
          <w:shd w:val="clear" w:color="auto" w:fill="auto"/>
          <w:vertAlign w:val="superscript"/>
        </w:rPr>
        <w:t>[10]</w:t>
      </w:r>
    </w:p>
    <w:p>
      <w:pPr>
        <w:spacing w:after="0" w:line="182" w:lineRule="exact"/>
        <w:rPr>
          <w:color w:val="auto"/>
          <w:sz w:val="20"/>
          <w:szCs w:val="20"/>
          <w:shd w:val="clear" w:color="auto" w:fill="auto"/>
        </w:rPr>
      </w:pPr>
    </w:p>
    <w:p>
      <w:pPr>
        <w:spacing w:after="0" w:line="415" w:lineRule="exact"/>
        <w:ind w:right="60" w:firstLine="480"/>
        <w:jc w:val="both"/>
        <w:rPr>
          <w:color w:val="auto"/>
          <w:sz w:val="20"/>
          <w:szCs w:val="20"/>
          <w:shd w:val="clear" w:color="auto" w:fill="auto"/>
        </w:rPr>
      </w:pPr>
      <w:r>
        <w:rPr>
          <w:rFonts w:ascii="宋体" w:hAnsi="宋体" w:eastAsia="宋体" w:cs="宋体"/>
          <w:color w:val="auto"/>
          <w:sz w:val="23"/>
          <w:szCs w:val="23"/>
          <w:shd w:val="clear" w:color="auto" w:fill="auto"/>
        </w:rPr>
        <w:t>大学不能超越社会而独立发展。章程或特许状既是大学自治的一个保证，也是政府参与大学治理的一个机制。英国牛津大学从早期教皇特许，到 1571 年牛津和剑桥两所大学的成立法案对其法人地位的确认，再到 1636 年查理士一世的皇家特许状（the Great Charter）对大学权力的强化与分配，以及从多个章程版本的并存、其修改要不要得到枢密院批准，再到 2002 年女王会同枢密院（ Queen inCouncil） 审议批准的新章程生效，无不体现出外部与大学之间及大学外部相互之间对大学的控制、妥协与协商。日本大学宪章的英文翻译是 charter，也就是英国特许状的译法，作为新制订大学章程的日本选用它来作其英文用语，不能不让人感受到政府影响的作用。</w:t>
      </w:r>
    </w:p>
    <w:p>
      <w:pPr>
        <w:spacing w:after="0" w:line="171"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三、大学章程的内容要素</w:t>
      </w:r>
    </w:p>
    <w:p>
      <w:pPr>
        <w:spacing w:after="0" w:line="163"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（一）章程对大学使命的彰显</w:t>
      </w:r>
    </w:p>
    <w:p>
      <w:pPr>
        <w:spacing w:after="0" w:line="178" w:lineRule="exact"/>
        <w:rPr>
          <w:color w:val="auto"/>
          <w:sz w:val="20"/>
          <w:szCs w:val="20"/>
          <w:shd w:val="clear" w:color="auto" w:fill="auto"/>
        </w:rPr>
      </w:pPr>
    </w:p>
    <w:p>
      <w:pPr>
        <w:spacing w:after="0" w:line="263" w:lineRule="exact"/>
        <w:ind w:left="480"/>
        <w:rPr>
          <w:color w:val="auto"/>
          <w:sz w:val="20"/>
          <w:szCs w:val="20"/>
          <w:shd w:val="clear" w:color="auto" w:fill="auto"/>
        </w:rPr>
      </w:pPr>
      <w:r>
        <w:rPr>
          <w:rFonts w:ascii="宋体" w:hAnsi="宋体" w:eastAsia="宋体" w:cs="宋体"/>
          <w:color w:val="auto"/>
          <w:sz w:val="23"/>
          <w:szCs w:val="23"/>
          <w:shd w:val="clear" w:color="auto" w:fill="auto"/>
        </w:rPr>
        <w:t>大学使命及其具体的办学目标，与大学的特色、定位密切相关，章程必须予以明述。</w:t>
      </w:r>
    </w:p>
    <w:p>
      <w:pPr>
        <w:spacing w:after="0" w:line="167" w:lineRule="exact"/>
        <w:rPr>
          <w:color w:val="auto"/>
          <w:sz w:val="20"/>
          <w:szCs w:val="20"/>
          <w:shd w:val="clear" w:color="auto" w:fill="auto"/>
        </w:rPr>
      </w:pPr>
    </w:p>
    <w:p>
      <w:pPr>
        <w:numPr>
          <w:ilvl w:val="0"/>
          <w:numId w:val="12"/>
        </w:numPr>
        <w:tabs>
          <w:tab w:val="left" w:pos="840"/>
        </w:tabs>
        <w:spacing w:after="0" w:line="274" w:lineRule="exact"/>
        <w:ind w:left="840" w:hanging="36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使命是大学之魂</w:t>
      </w:r>
    </w:p>
    <w:p>
      <w:pPr>
        <w:spacing w:after="0" w:line="176" w:lineRule="exact"/>
        <w:rPr>
          <w:rFonts w:ascii="宋体" w:hAnsi="宋体" w:eastAsia="宋体" w:cs="宋体"/>
          <w:color w:val="auto"/>
          <w:sz w:val="24"/>
          <w:szCs w:val="24"/>
          <w:shd w:val="clear" w:color="auto" w:fill="auto"/>
        </w:rPr>
      </w:pPr>
    </w:p>
    <w:p>
      <w:pPr>
        <w:spacing w:after="0" w:line="263" w:lineRule="exact"/>
        <w:ind w:left="480"/>
        <w:rPr>
          <w:rFonts w:ascii="宋体" w:hAnsi="宋体" w:eastAsia="宋体" w:cs="宋体"/>
          <w:color w:val="auto"/>
          <w:sz w:val="24"/>
          <w:szCs w:val="24"/>
          <w:shd w:val="clear" w:color="auto" w:fill="auto"/>
        </w:rPr>
      </w:pPr>
      <w:r>
        <w:rPr>
          <w:rFonts w:ascii="宋体" w:hAnsi="宋体" w:eastAsia="宋体" w:cs="宋体"/>
          <w:color w:val="auto"/>
          <w:sz w:val="23"/>
          <w:szCs w:val="23"/>
          <w:shd w:val="clear" w:color="auto" w:fill="auto"/>
        </w:rPr>
        <w:t>使命规定着该大学存在的价值，规范着大学的发展方向。与使命一致的事情可以做，</w:t>
      </w:r>
    </w:p>
    <w:p>
      <w:pPr>
        <w:spacing w:after="0" w:line="200" w:lineRule="exact"/>
        <w:rPr>
          <w:color w:val="auto"/>
          <w:sz w:val="20"/>
          <w:szCs w:val="20"/>
          <w:shd w:val="clear" w:color="auto" w:fill="auto"/>
        </w:rPr>
      </w:pPr>
    </w:p>
    <w:p>
      <w:pPr>
        <w:spacing w:after="0" w:line="340" w:lineRule="exact"/>
        <w:ind w:right="60"/>
        <w:rPr>
          <w:color w:val="auto"/>
          <w:sz w:val="20"/>
          <w:szCs w:val="20"/>
          <w:shd w:val="clear" w:color="auto" w:fill="auto"/>
        </w:rPr>
      </w:pPr>
      <w:r>
        <w:rPr>
          <w:rFonts w:ascii="宋体" w:hAnsi="宋体" w:eastAsia="宋体" w:cs="宋体"/>
          <w:color w:val="auto"/>
          <w:sz w:val="24"/>
          <w:szCs w:val="24"/>
          <w:shd w:val="clear" w:color="auto" w:fill="auto"/>
        </w:rPr>
        <w:t>不符合使命的事情不能做，保证大学不见利忘义、盲目发展。明确使命，还能使政府、大学内部、社会机构与大众等主体从战略高度思考大学的发展方向。</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46</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49" w:name="page49"/>
      <w:bookmarkEnd w:id="49"/>
    </w:p>
    <w:p>
      <w:pPr>
        <w:spacing w:after="0" w:line="413"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因大学有其同质性的一面，使命可能会有一些共同点。但是，大学使命要呈现自己鲜活的特性。杨福家在评述耶鲁大学的使命时说：初看耶鲁大学的基本使命（保护、传授、推进和丰富知识与文化），似乎只是词语的堆砌，但是仔细品味，就能了解，假如使命只有传授知识，那么它就对美国近 4000 所大学与学院都适用；若加上推进和丰富，只有 3%的大学能够胜任；再加上文化两字，就只剩 1%；至于能够涉及保护知识和文化的，只怕不足 3‰求胜心切大学的使命要有差别性、特殊性，如果一所大学的使命什么学校都能用， 那它的表述就不很贴切了。</w:t>
      </w:r>
      <w:r>
        <w:rPr>
          <w:rFonts w:ascii="宋体" w:hAnsi="宋体" w:eastAsia="宋体" w:cs="宋体"/>
          <w:color w:val="auto"/>
          <w:sz w:val="24"/>
          <w:szCs w:val="24"/>
          <w:shd w:val="clear" w:color="auto" w:fill="auto"/>
          <w:vertAlign w:val="superscript"/>
        </w:rPr>
        <w:t>[11]</w:t>
      </w:r>
    </w:p>
    <w:p>
      <w:pPr>
        <w:spacing w:after="0" w:line="172" w:lineRule="exact"/>
        <w:rPr>
          <w:color w:val="auto"/>
          <w:sz w:val="20"/>
          <w:szCs w:val="20"/>
          <w:shd w:val="clear" w:color="auto" w:fill="auto"/>
        </w:rPr>
      </w:pPr>
    </w:p>
    <w:p>
      <w:pPr>
        <w:spacing w:after="0" w:line="403"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日本大学宪章被誉为大学精神构造上的骨格</w:t>
      </w:r>
      <w:r>
        <w:rPr>
          <w:rFonts w:ascii="宋体" w:hAnsi="宋体" w:eastAsia="宋体" w:cs="宋体"/>
          <w:color w:val="auto"/>
          <w:sz w:val="24"/>
          <w:szCs w:val="24"/>
          <w:shd w:val="clear" w:color="auto" w:fill="auto"/>
          <w:vertAlign w:val="superscript"/>
        </w:rPr>
        <w:t>[12]</w:t>
      </w:r>
      <w:r>
        <w:rPr>
          <w:rFonts w:ascii="宋体" w:hAnsi="宋体" w:eastAsia="宋体" w:cs="宋体"/>
          <w:color w:val="auto"/>
          <w:sz w:val="24"/>
          <w:szCs w:val="24"/>
          <w:shd w:val="clear" w:color="auto" w:fill="auto"/>
        </w:rPr>
        <w:t>。从东京大学宪章中，可以清晰地感受到一种立足于全球视野和全球思维的战略选择高度和指向，对自己大学名字的前置定语是世界的东京大学而不是日本的东京大学。其他著名帝国大学，宪章的使命部分也均表现出强烈的全球化价值取向，追寻在积极的合作交流中打造大学的国际竞争力。而地方公立大学及一些私立大学，则表现出较强的务实性。</w:t>
      </w:r>
    </w:p>
    <w:p>
      <w:pPr>
        <w:spacing w:after="0" w:line="205" w:lineRule="exact"/>
        <w:rPr>
          <w:color w:val="auto"/>
          <w:sz w:val="20"/>
          <w:szCs w:val="20"/>
          <w:shd w:val="clear" w:color="auto" w:fill="auto"/>
        </w:rPr>
      </w:pPr>
    </w:p>
    <w:p>
      <w:pPr>
        <w:spacing w:after="0" w:line="407"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德国洪堡大学章程明确致力于教研的统一、教与学的结合，科学的命脉植根于自由，而自由源于责任，学校因而也致力于学术自身责任及自我管理。为了实现自己的使命要求， 巴黎第四大学在其章程中规定，“要在作为绝对准则的自由精神之中，在客观和其成员在自信、目标、方法和工作表述上相互尊重的精神之中，完成其教育任务和学术任务”，牛津大学则标明“该大学有权开展任何法律允许的、且是为实现目标而视为是必要或需要的活动。”</w:t>
      </w:r>
    </w:p>
    <w:p>
      <w:pPr>
        <w:spacing w:after="0" w:line="170" w:lineRule="exact"/>
        <w:rPr>
          <w:color w:val="auto"/>
          <w:sz w:val="20"/>
          <w:szCs w:val="20"/>
          <w:shd w:val="clear" w:color="auto" w:fill="auto"/>
        </w:rPr>
      </w:pPr>
    </w:p>
    <w:p>
      <w:pPr>
        <w:numPr>
          <w:ilvl w:val="0"/>
          <w:numId w:val="13"/>
        </w:numPr>
        <w:tabs>
          <w:tab w:val="left" w:pos="840"/>
        </w:tabs>
        <w:spacing w:after="0" w:line="274" w:lineRule="exact"/>
        <w:ind w:left="840" w:hanging="362"/>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办学目标是大学使命的具体体现</w:t>
      </w:r>
    </w:p>
    <w:p>
      <w:pPr>
        <w:spacing w:after="0" w:line="165" w:lineRule="exact"/>
        <w:rPr>
          <w:rFonts w:ascii="宋体" w:hAnsi="宋体" w:eastAsia="宋体" w:cs="宋体"/>
          <w:color w:val="auto"/>
          <w:sz w:val="24"/>
          <w:szCs w:val="24"/>
          <w:shd w:val="clear" w:color="auto" w:fill="auto"/>
        </w:rPr>
      </w:pPr>
    </w:p>
    <w:p>
      <w:pPr>
        <w:spacing w:after="0" w:line="274" w:lineRule="exact"/>
        <w:ind w:left="480"/>
        <w:rPr>
          <w:rFonts w:ascii="宋体" w:hAnsi="宋体" w:eastAsia="宋体" w:cs="宋体"/>
          <w:color w:val="auto"/>
          <w:sz w:val="24"/>
          <w:szCs w:val="24"/>
          <w:shd w:val="clear" w:color="auto" w:fill="auto"/>
        </w:rPr>
      </w:pPr>
      <w:r>
        <w:rPr>
          <w:rFonts w:ascii="宋体" w:hAnsi="宋体" w:eastAsia="宋体" w:cs="宋体"/>
          <w:color w:val="auto"/>
          <w:sz w:val="24"/>
          <w:szCs w:val="24"/>
          <w:shd w:val="clear" w:color="auto" w:fill="auto"/>
        </w:rPr>
        <w:t>大学章程要描述大学的未来发展蓝图，规划大学自身发展的中长期目标，这种规划</w:t>
      </w:r>
    </w:p>
    <w:p>
      <w:pPr>
        <w:spacing w:after="0" w:line="200" w:lineRule="exact"/>
        <w:rPr>
          <w:color w:val="auto"/>
          <w:sz w:val="20"/>
          <w:szCs w:val="20"/>
          <w:shd w:val="clear" w:color="auto" w:fill="auto"/>
        </w:rPr>
      </w:pPr>
    </w:p>
    <w:p>
      <w:pPr>
        <w:spacing w:after="0" w:line="389" w:lineRule="exact"/>
        <w:ind w:right="60"/>
        <w:jc w:val="both"/>
        <w:rPr>
          <w:color w:val="auto"/>
          <w:sz w:val="20"/>
          <w:szCs w:val="20"/>
          <w:shd w:val="clear" w:color="auto" w:fill="auto"/>
        </w:rPr>
      </w:pPr>
      <w:r>
        <w:rPr>
          <w:rFonts w:ascii="宋体" w:hAnsi="宋体" w:eastAsia="宋体" w:cs="宋体"/>
          <w:color w:val="auto"/>
          <w:sz w:val="24"/>
          <w:szCs w:val="24"/>
          <w:shd w:val="clear" w:color="auto" w:fill="auto"/>
        </w:rPr>
        <w:t>是基于法治精神的一种制度性保障。 章程使大学内的每个机构、甚至每个成员都了解到了未来的发展方向和目标，对教师和学生的行为起到了一种潜移默化的指引作用。 如果说使命的共同部分还可以多一些的话，那么，大学的办学目标则一定要明确、具体，要把学校的定位规范下来，要体现使命的要求。</w:t>
      </w:r>
    </w:p>
    <w:p>
      <w:pPr>
        <w:spacing w:after="0" w:line="205" w:lineRule="exact"/>
        <w:rPr>
          <w:color w:val="auto"/>
          <w:sz w:val="20"/>
          <w:szCs w:val="20"/>
          <w:shd w:val="clear" w:color="auto" w:fill="auto"/>
        </w:rPr>
      </w:pPr>
    </w:p>
    <w:p>
      <w:pPr>
        <w:spacing w:after="0" w:line="412" w:lineRule="exact"/>
        <w:ind w:right="60" w:firstLine="480"/>
        <w:jc w:val="both"/>
        <w:rPr>
          <w:color w:val="auto"/>
          <w:sz w:val="20"/>
          <w:szCs w:val="20"/>
          <w:shd w:val="clear" w:color="auto" w:fill="auto"/>
        </w:rPr>
      </w:pPr>
      <w:r>
        <w:rPr>
          <w:rFonts w:ascii="宋体" w:hAnsi="宋体" w:eastAsia="宋体" w:cs="宋体"/>
          <w:color w:val="auto"/>
          <w:sz w:val="23"/>
          <w:szCs w:val="23"/>
          <w:shd w:val="clear" w:color="auto" w:fill="auto"/>
        </w:rPr>
        <w:t>美国密歇根州立大学在章程的序言中指出，作为政府赠与地的学校，其职责是提供农业、工业及其他课程的自由性及实践性教育，为学生的学术生涯和职业生涯做准备。康奈尔大学的章程规定，学校的主要任务是为了推动学校工业课程的自由和实践教育，学校主要教授与农业、机械相关学科的知识，包括军事战略等。德国波鸿鲁尔大学章程规定，“作为德国第一所综合性大学，波鸿鲁尔大学依照学科价值同等原则，将传统大学与科技大学的学科相结合，学科设置涵盖了神学及工程”，并进一步明确提出“要为日后的就业做准备，使学生能够将科学知识应用到实际工作中去”。东京大学提出：“将</w:t>
      </w:r>
    </w:p>
    <w:p>
      <w:pPr>
        <w:spacing w:after="0" w:line="200" w:lineRule="exact"/>
        <w:rPr>
          <w:color w:val="auto"/>
          <w:sz w:val="20"/>
          <w:szCs w:val="20"/>
          <w:shd w:val="clear" w:color="auto" w:fill="auto"/>
        </w:rPr>
      </w:pPr>
    </w:p>
    <w:p>
      <w:pPr>
        <w:spacing w:after="0" w:line="280"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47</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50" w:name="page50"/>
      <w:bookmarkEnd w:id="50"/>
    </w:p>
    <w:p>
      <w:pPr>
        <w:spacing w:after="0" w:line="389" w:lineRule="exact"/>
        <w:rPr>
          <w:color w:val="auto"/>
          <w:sz w:val="20"/>
          <w:szCs w:val="20"/>
          <w:shd w:val="clear" w:color="auto" w:fill="auto"/>
        </w:rPr>
      </w:pPr>
      <w:r>
        <w:rPr>
          <w:rFonts w:ascii="宋体" w:hAnsi="宋体" w:eastAsia="宋体" w:cs="宋体"/>
          <w:color w:val="auto"/>
          <w:sz w:val="24"/>
          <w:szCs w:val="24"/>
          <w:shd w:val="clear" w:color="auto" w:fill="auto"/>
        </w:rPr>
        <w:t>基于学术自由的精神，追求真理的探究与知识的创造，维持和发展世界最高水准的教育与研究作为目标。培养拥有广阔视野，具备高度的专业知识和理解力、洞察力、实践力、想象力，具备国际性和开拓者的首创精神的人，培养各个领域的具备领导素质与人格的人”。可见不同层次类型的大学办学目标是不同的。</w:t>
      </w:r>
    </w:p>
    <w:p>
      <w:pPr>
        <w:spacing w:after="0" w:line="203" w:lineRule="exact"/>
        <w:rPr>
          <w:color w:val="auto"/>
          <w:sz w:val="20"/>
          <w:szCs w:val="20"/>
          <w:shd w:val="clear" w:color="auto" w:fill="auto"/>
        </w:rPr>
      </w:pPr>
    </w:p>
    <w:p>
      <w:pPr>
        <w:spacing w:after="0" w:line="373"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大学章程一般还对学校的名称、校址、印章、规模、学科门类设置和教育形式等做出具体的规定。表明办学要有稳定性，涉及使命、目标及与之相关的具体内容不宜轻易改动。</w:t>
      </w:r>
    </w:p>
    <w:p>
      <w:pPr>
        <w:spacing w:after="0" w:line="17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（二）大学章程的内部治理要素</w:t>
      </w:r>
    </w:p>
    <w:p>
      <w:pPr>
        <w:spacing w:after="0" w:line="190" w:lineRule="exact"/>
        <w:rPr>
          <w:color w:val="auto"/>
          <w:sz w:val="20"/>
          <w:szCs w:val="20"/>
          <w:shd w:val="clear" w:color="auto" w:fill="auto"/>
        </w:rPr>
      </w:pPr>
    </w:p>
    <w:p>
      <w:pPr>
        <w:spacing w:after="0" w:line="340"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内部治理是大学章程阐述的重点，主要体现在决策机构、行政机构、学术机构的划定上， 包括机构间的运作程序，各机构及重要岗位的职责、义务等。</w:t>
      </w:r>
    </w:p>
    <w:p>
      <w:pPr>
        <w:spacing w:after="0" w:line="166"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1.决策机构</w:t>
      </w:r>
    </w:p>
    <w:p>
      <w:pPr>
        <w:spacing w:after="0" w:line="200" w:lineRule="exact"/>
        <w:rPr>
          <w:color w:val="auto"/>
          <w:sz w:val="20"/>
          <w:szCs w:val="20"/>
          <w:shd w:val="clear" w:color="auto" w:fill="auto"/>
        </w:rPr>
      </w:pPr>
    </w:p>
    <w:p>
      <w:pPr>
        <w:spacing w:after="0" w:line="420"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各国大学章程均明确规定了大学的决策机构和重大问题决策程序。在美国，董事会是大学的最高决策与审议机构，如芝加哥大学章程规定，董事会拥有大学的最高决策权，大学校长向董事会负责，并执行董事会决策；法国大学校务委员会是大学的决策机构，负责决定本校的政策，尤其是审定与政府签订的合同内容，决定预算和决算，分配人员编制等事项；根据特许状和章程，英国大学理事会（ Council）或校董会（Board of Governors）作为大学的议事决策机构，对处理大学的事务拥有最高权力，包括制订大学的发展规划和战略方向，确保对大学事务、财产和金融的有效管理和控制，决定大学的组织结构、人员编制和总体构成，理事会还是大学公章的唯一使用者和监护者；德国大学的领导机制以本校的基本章程为准， 实行校务委员会制或实行校董事会制，如波鸿鲁尔大学实行校务委员会制，柏林洪堡大学实行校董事会制。</w:t>
      </w:r>
    </w:p>
    <w:p>
      <w:pPr>
        <w:spacing w:after="0" w:line="203" w:lineRule="exact"/>
        <w:rPr>
          <w:color w:val="auto"/>
          <w:sz w:val="20"/>
          <w:szCs w:val="20"/>
          <w:shd w:val="clear" w:color="auto" w:fill="auto"/>
        </w:rPr>
      </w:pPr>
    </w:p>
    <w:p>
      <w:pPr>
        <w:spacing w:after="0" w:line="415" w:lineRule="exact"/>
        <w:ind w:firstLine="480"/>
        <w:rPr>
          <w:color w:val="auto"/>
          <w:sz w:val="20"/>
          <w:szCs w:val="20"/>
          <w:shd w:val="clear" w:color="auto" w:fill="auto"/>
        </w:rPr>
      </w:pPr>
      <w:r>
        <w:rPr>
          <w:rFonts w:ascii="宋体" w:hAnsi="宋体" w:eastAsia="宋体" w:cs="宋体"/>
          <w:color w:val="auto"/>
          <w:sz w:val="24"/>
          <w:szCs w:val="24"/>
          <w:shd w:val="clear" w:color="auto" w:fill="auto"/>
        </w:rPr>
        <w:t>大学章程还规定着大学决策机构自身的运作和一些具体的权力。如美国的大学章程规定了董事会的规模、职责、组织结构、选拔和任期等，董事会的作用还包括选择校长、监察教授职位的聘用和高级行政职位的任命等。董事会一般都下设一些委员会，章程要针对各自的不同职能对其职责做出具体的规定；英国大学理事会通常规模为 20 ~40 人，校外人士占大多数，近几年大学教授的比例有所增加。理事会有权任命理事会主席、副主席和其他成员，与评议会联合提名荣誉校长人选，任命校长、代理校长、财务官、代理荣誉校长审计师，根据评议会的推荐和建议设立学术岗位和学术管理机构，理事会有权成立常务委员会或临时委员会。</w:t>
      </w:r>
    </w:p>
    <w:p>
      <w:pPr>
        <w:spacing w:after="0" w:line="174"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2.行政机构</w:t>
      </w:r>
    </w:p>
    <w:p>
      <w:pPr>
        <w:spacing w:after="0" w:line="167"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大学章程规定了大学的行政组织结构和执行程序，包括一些主要机构和重要岗位的</w:t>
      </w:r>
    </w:p>
    <w:p>
      <w:pPr>
        <w:spacing w:after="0" w:line="200" w:lineRule="exact"/>
        <w:rPr>
          <w:color w:val="auto"/>
          <w:sz w:val="20"/>
          <w:szCs w:val="20"/>
          <w:shd w:val="clear" w:color="auto" w:fill="auto"/>
        </w:rPr>
      </w:pPr>
    </w:p>
    <w:p>
      <w:pPr>
        <w:spacing w:after="0" w:line="277"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48</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51" w:name="page51"/>
      <w:bookmarkEnd w:id="51"/>
    </w:p>
    <w:p>
      <w:pPr>
        <w:spacing w:after="0" w:line="373" w:lineRule="exact"/>
        <w:ind w:right="40"/>
        <w:jc w:val="both"/>
        <w:rPr>
          <w:color w:val="auto"/>
          <w:sz w:val="20"/>
          <w:szCs w:val="20"/>
          <w:shd w:val="clear" w:color="auto" w:fill="auto"/>
        </w:rPr>
      </w:pPr>
      <w:r>
        <w:rPr>
          <w:rFonts w:ascii="宋体" w:hAnsi="宋体" w:eastAsia="宋体" w:cs="宋体"/>
          <w:color w:val="auto"/>
          <w:sz w:val="24"/>
          <w:szCs w:val="24"/>
          <w:shd w:val="clear" w:color="auto" w:fill="auto"/>
        </w:rPr>
        <w:t>职责与运作。一般而言，决策机构如大学董事会并不管理具体的日常行政事务，其制定的政策方针由校长去具体实施。大学章程规定着各个行政部门的职能及权限， 保证各部门能够在校长的主持下各司其职。</w:t>
      </w:r>
    </w:p>
    <w:p>
      <w:pPr>
        <w:spacing w:after="0" w:line="201" w:lineRule="exact"/>
        <w:rPr>
          <w:color w:val="auto"/>
          <w:sz w:val="20"/>
          <w:szCs w:val="20"/>
          <w:shd w:val="clear" w:color="auto" w:fill="auto"/>
        </w:rPr>
      </w:pPr>
    </w:p>
    <w:p>
      <w:pPr>
        <w:spacing w:after="0" w:line="418"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总体上，校长对外代表大学，对内负责有关大学自治的一切事务，大学章程一般都具体明确校长的职责。如英国大学校长的权力是大学法和大学章程所赋予的，属于职位性的权力，校长是大学学术和行政首席执行官，是大学学术领域的主要负责人，是拥有大学治理领域的最高权力的个人，直接对理事会负责。法国大学校长虽然由政府任命，但他不是行政官员，基本的规矩是新校长一旦当选，他的职权就由大学的章程界定着，外面的官员或工商界无权干涉。巴黎第四大学的章程列举了大学校长的九条权力，但其权力又受到相当多的限制：校长虽然主持三个委员会，但必须执行其决议，接受其建议与意见；校长要保障大学的财产管理，而不许谋取私利；校长有权任命中层管理人员，但须征得相关委员会的意见。</w:t>
      </w:r>
    </w:p>
    <w:p>
      <w:pPr>
        <w:spacing w:after="0" w:line="169"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宋体" w:hAnsi="宋体" w:eastAsia="宋体" w:cs="宋体"/>
          <w:color w:val="auto"/>
          <w:sz w:val="24"/>
          <w:szCs w:val="24"/>
          <w:shd w:val="clear" w:color="auto" w:fill="auto"/>
        </w:rPr>
        <w:t>3.学术机构</w:t>
      </w:r>
    </w:p>
    <w:p>
      <w:pPr>
        <w:spacing w:after="0" w:line="199" w:lineRule="exact"/>
        <w:rPr>
          <w:color w:val="auto"/>
          <w:sz w:val="20"/>
          <w:szCs w:val="20"/>
          <w:shd w:val="clear" w:color="auto" w:fill="auto"/>
        </w:rPr>
      </w:pPr>
    </w:p>
    <w:p>
      <w:pPr>
        <w:spacing w:after="0" w:line="389" w:lineRule="exact"/>
        <w:ind w:firstLine="480"/>
        <w:jc w:val="both"/>
        <w:rPr>
          <w:color w:val="auto"/>
          <w:sz w:val="20"/>
          <w:szCs w:val="20"/>
          <w:shd w:val="clear" w:color="auto" w:fill="auto"/>
        </w:rPr>
      </w:pPr>
      <w:r>
        <w:rPr>
          <w:rFonts w:ascii="宋体" w:hAnsi="宋体" w:eastAsia="宋体" w:cs="宋体"/>
          <w:color w:val="auto"/>
          <w:sz w:val="24"/>
          <w:szCs w:val="24"/>
          <w:shd w:val="clear" w:color="auto" w:fill="auto"/>
        </w:rPr>
        <w:t>大学管理需重视教授的作用，学校重要的权力机构都吸收教授加入，这一点从国外大学章程就可清楚地看出。如耶鲁大学章程规定每个学院的终身教授同时是行政人员，他们和校长、教务长、院长一起组成终身职员理事会。该理事会是学院的管理机构，处理有关教育政策、学院管理的事情。</w:t>
      </w:r>
    </w:p>
    <w:p>
      <w:pPr>
        <w:spacing w:after="0" w:line="205" w:lineRule="exact"/>
        <w:rPr>
          <w:color w:val="auto"/>
          <w:sz w:val="20"/>
          <w:szCs w:val="20"/>
          <w:shd w:val="clear" w:color="auto" w:fill="auto"/>
        </w:rPr>
      </w:pPr>
    </w:p>
    <w:p>
      <w:pPr>
        <w:spacing w:after="0" w:line="411"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大学章程要明确规定大学的学术机构。法国大学设学术委员会，对科研政策及科研经费的分配提出建议，对科研计划、科研指导资格、文凭的设置与变动等方面问题提供咨询；学术评议会是英国大学最高学术权力机构，负责管理大学的学术工作，规范、监管学生的纪律，享有制定大学学术政策的全部权力，是可以和各个学部、系直接打交道的机构；在德国大学里，评议会对学术事务以及重大的行政事务拥有审议决策权，大学章程对评议会的组成做出详细规定，本校教授要在这一机构中拥有绝对多数的席位和表决票。</w:t>
      </w:r>
    </w:p>
    <w:p>
      <w:pPr>
        <w:spacing w:after="0" w:line="174"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黑体" w:hAnsi="黑体" w:eastAsia="黑体" w:cs="黑体"/>
          <w:b/>
          <w:bCs/>
          <w:color w:val="auto"/>
          <w:sz w:val="24"/>
          <w:szCs w:val="24"/>
          <w:shd w:val="clear" w:color="auto" w:fill="auto"/>
        </w:rPr>
        <w:t>四、我国大学章程的制订</w:t>
      </w:r>
    </w:p>
    <w:p>
      <w:pPr>
        <w:spacing w:after="0" w:line="197" w:lineRule="exact"/>
        <w:rPr>
          <w:color w:val="auto"/>
          <w:sz w:val="20"/>
          <w:szCs w:val="20"/>
          <w:shd w:val="clear" w:color="auto" w:fill="auto"/>
        </w:rPr>
      </w:pPr>
    </w:p>
    <w:p>
      <w:pPr>
        <w:spacing w:after="0" w:line="407" w:lineRule="exact"/>
        <w:ind w:firstLine="480"/>
        <w:jc w:val="both"/>
        <w:rPr>
          <w:color w:val="auto"/>
          <w:sz w:val="20"/>
          <w:szCs w:val="20"/>
          <w:shd w:val="clear" w:color="auto" w:fill="auto"/>
        </w:rPr>
      </w:pPr>
      <w:r>
        <w:rPr>
          <w:rFonts w:ascii="宋体" w:hAnsi="宋体" w:eastAsia="宋体" w:cs="宋体"/>
          <w:color w:val="auto"/>
          <w:sz w:val="23"/>
          <w:szCs w:val="23"/>
          <w:shd w:val="clear" w:color="auto" w:fill="auto"/>
        </w:rPr>
        <w:t>目前，我国开始了制订大学章程的试点，笔者认为，这项工作应该与现代大学制度建设联系在一起思考。综观国外的大学章程，有简有繁，如日本的比较简短、英美的比较繁多，从中可以发现一个由简至繁的过程。因此，不要期望章程的制订一步到位，章程在内容的选择上需要有一个甄别、充实、完善的过程。在章程制订初期，不能太繁，要定大事，要能经得起时间的检验，具体的细节可由章程之下的规章予以约束。从工作推进的角度看，章程是在学校使命定位与办学目标确立下，对外部关系的一种责任说明</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49</w:t>
      </w:r>
    </w:p>
    <w:p>
      <w:pPr>
        <w:rPr>
          <w:shd w:val="clear" w:color="auto" w:fill="auto"/>
        </w:rPr>
        <w:sectPr>
          <w:pgSz w:w="11900" w:h="16840"/>
          <w:pgMar w:top="1440" w:right="1364" w:bottom="587" w:left="1420" w:header="0" w:footer="0" w:gutter="0"/>
          <w:cols w:equalWidth="0" w:num="1">
            <w:col w:w="9120"/>
          </w:cols>
        </w:sectPr>
      </w:pPr>
    </w:p>
    <w:p>
      <w:pPr>
        <w:spacing w:after="0" w:line="124" w:lineRule="exact"/>
        <w:rPr>
          <w:color w:val="auto"/>
          <w:sz w:val="20"/>
          <w:szCs w:val="20"/>
          <w:shd w:val="clear" w:color="auto" w:fill="auto"/>
        </w:rPr>
      </w:pPr>
      <w:bookmarkStart w:id="52" w:name="page52"/>
      <w:bookmarkEnd w:id="52"/>
    </w:p>
    <w:p>
      <w:pPr>
        <w:spacing w:after="0" w:line="339" w:lineRule="exact"/>
        <w:ind w:right="60"/>
        <w:rPr>
          <w:color w:val="auto"/>
          <w:sz w:val="20"/>
          <w:szCs w:val="20"/>
          <w:shd w:val="clear" w:color="auto" w:fill="auto"/>
        </w:rPr>
      </w:pPr>
      <w:r>
        <w:rPr>
          <w:rFonts w:ascii="宋体" w:hAnsi="宋体" w:eastAsia="宋体" w:cs="宋体"/>
          <w:color w:val="auto"/>
          <w:sz w:val="24"/>
          <w:szCs w:val="24"/>
          <w:shd w:val="clear" w:color="auto" w:fill="auto"/>
        </w:rPr>
        <w:t>和对内部管理的一种运行规范高等教育法第二十八条提到的有关章程涉及内容的规定，系法律层面的要素要求，须予以遵循。其具体的内容要素如下。</w:t>
      </w:r>
    </w:p>
    <w:p>
      <w:pPr>
        <w:spacing w:after="0" w:line="178"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（一）大学的外部关系及章程的生效程序</w:t>
      </w:r>
    </w:p>
    <w:p>
      <w:pPr>
        <w:spacing w:after="0" w:line="190" w:lineRule="exact"/>
        <w:rPr>
          <w:color w:val="auto"/>
          <w:sz w:val="20"/>
          <w:szCs w:val="20"/>
          <w:shd w:val="clear" w:color="auto" w:fill="auto"/>
        </w:rPr>
      </w:pPr>
    </w:p>
    <w:p>
      <w:pPr>
        <w:spacing w:after="0" w:line="400" w:lineRule="exact"/>
        <w:ind w:right="120" w:firstLine="120"/>
        <w:jc w:val="both"/>
        <w:rPr>
          <w:color w:val="auto"/>
          <w:sz w:val="20"/>
          <w:szCs w:val="20"/>
          <w:shd w:val="clear" w:color="auto" w:fill="auto"/>
        </w:rPr>
      </w:pPr>
      <w:r>
        <w:rPr>
          <w:rFonts w:ascii="PMingLiU" w:hAnsi="PMingLiU" w:eastAsia="PMingLiU" w:cs="PMingLiU"/>
          <w:color w:val="auto"/>
          <w:sz w:val="24"/>
          <w:szCs w:val="24"/>
          <w:shd w:val="clear" w:color="auto" w:fill="auto"/>
        </w:rPr>
        <w:t xml:space="preserve"> </w:t>
      </w:r>
      <w:r>
        <w:rPr>
          <w:rFonts w:ascii="宋体" w:hAnsi="宋体" w:eastAsia="宋体" w:cs="宋体"/>
          <w:color w:val="auto"/>
          <w:sz w:val="24"/>
          <w:szCs w:val="24"/>
          <w:shd w:val="clear" w:color="auto" w:fill="auto"/>
        </w:rPr>
        <w:t>高等教育法提到了章程应规定举办者与学校之间的权利、义务、经费来源、章程修改程序等项内容，直接涉及到大学的外部关系。大学外部关系的明晰，将使大学的运行在有法可依的基础上进一步有章可循，有助于大学成为自主办学的实体，也有助于在减少行政干预的前提下满足政府预期，有助于增加政府的宏观指导作用和提高学校的办学活力。</w:t>
      </w:r>
    </w:p>
    <w:p>
      <w:pPr>
        <w:spacing w:after="0" w:line="203" w:lineRule="exact"/>
        <w:rPr>
          <w:color w:val="auto"/>
          <w:sz w:val="20"/>
          <w:szCs w:val="20"/>
          <w:shd w:val="clear" w:color="auto" w:fill="auto"/>
        </w:rPr>
      </w:pPr>
    </w:p>
    <w:p>
      <w:pPr>
        <w:spacing w:after="0" w:line="400"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大学章程应呈现大学与举办者、地方、校友及其他利益相关者关系的内容，并予以组织落实。公办大学首先要体现国家意志和公共利益，明确社会参与治理的方式，如杨福家就曾经向温总理提出过构建有社会参与的校务委员会来作为大学的决策机构。 这里还需要考虑学校的自身特点和长期发展要求，突出一些重点，如地方大学必须密切关注地方的发展，甚至可以专设负责与地方关系的副校长来加强这项工作。</w:t>
      </w:r>
    </w:p>
    <w:p>
      <w:pPr>
        <w:spacing w:after="0" w:line="204" w:lineRule="exact"/>
        <w:rPr>
          <w:color w:val="auto"/>
          <w:sz w:val="20"/>
          <w:szCs w:val="20"/>
          <w:shd w:val="clear" w:color="auto" w:fill="auto"/>
        </w:rPr>
      </w:pPr>
    </w:p>
    <w:p>
      <w:pPr>
        <w:spacing w:after="0" w:line="411"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大学章程的制订、生效与修改，其实涉及到对章程属性的理解。笔者认为，它是大学自主办学和政府宏观调控结合的产物，因此相当于一个法定的合约，需共同签署，需要政府批准方能生效。我国高等教育法第二十九条规定，章程的修改，应当报原审批机关核准，就体现出了这个意思。因为近期我国的大学章程还只是初生之物，还有个完善的过程， 因此其生效与修改可先由学校主管部门批准，待以后条件成熟时，可以考虑根据学校的层次、类别和使命要求，分不同情况由各级人民代表大会（ 立法机关）审议通过，以增强章程的权威性和严肃性。</w:t>
      </w:r>
    </w:p>
    <w:p>
      <w:pPr>
        <w:spacing w:after="0" w:line="206" w:lineRule="exact"/>
        <w:rPr>
          <w:color w:val="auto"/>
          <w:sz w:val="20"/>
          <w:szCs w:val="20"/>
          <w:shd w:val="clear" w:color="auto" w:fill="auto"/>
        </w:rPr>
      </w:pPr>
    </w:p>
    <w:p>
      <w:pPr>
        <w:spacing w:after="0" w:line="407" w:lineRule="exact"/>
        <w:ind w:right="120" w:firstLine="360"/>
        <w:jc w:val="both"/>
        <w:rPr>
          <w:color w:val="auto"/>
          <w:sz w:val="20"/>
          <w:szCs w:val="20"/>
          <w:shd w:val="clear" w:color="auto" w:fill="auto"/>
        </w:rPr>
      </w:pPr>
      <w:r>
        <w:rPr>
          <w:rFonts w:ascii="宋体" w:hAnsi="宋体" w:eastAsia="宋体" w:cs="宋体"/>
          <w:color w:val="auto"/>
          <w:sz w:val="24"/>
          <w:szCs w:val="24"/>
          <w:shd w:val="clear" w:color="auto" w:fill="auto"/>
        </w:rPr>
        <w:t>高等学校面向社会依法自主办学，需要与政府建立起一种相对平等的关系：通过转变政府职能落实高校的自主法人地位，通过合理规划高等学校的分类定位解决发展的使命方向，通过建章立制规范权责关系和完善约束机制，通过目标管理满足政府的要求和实现高校的自治。待大学章程生效后，政府可对高等学校实施目标或契约管理。在性质上，政府与高校的契约关系为行政契约，界于行政行为和私法契约之间，兼具行政的公务性和契约的合意性。</w:t>
      </w:r>
    </w:p>
    <w:p>
      <w:pPr>
        <w:spacing w:after="0" w:line="180"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（二）大学使命和办学目标的阐述</w:t>
      </w:r>
    </w:p>
    <w:p>
      <w:pPr>
        <w:spacing w:after="0" w:line="190" w:lineRule="exact"/>
        <w:rPr>
          <w:color w:val="auto"/>
          <w:sz w:val="20"/>
          <w:szCs w:val="20"/>
          <w:shd w:val="clear" w:color="auto" w:fill="auto"/>
        </w:rPr>
      </w:pPr>
    </w:p>
    <w:p>
      <w:pPr>
        <w:spacing w:after="0" w:line="390" w:lineRule="exact"/>
        <w:ind w:firstLine="480"/>
        <w:rPr>
          <w:color w:val="auto"/>
          <w:sz w:val="20"/>
          <w:szCs w:val="20"/>
          <w:shd w:val="clear" w:color="auto" w:fill="auto"/>
        </w:rPr>
      </w:pPr>
      <w:r>
        <w:rPr>
          <w:rFonts w:ascii="宋体" w:hAnsi="宋体" w:eastAsia="宋体" w:cs="宋体"/>
          <w:color w:val="auto"/>
          <w:sz w:val="23"/>
          <w:szCs w:val="23"/>
          <w:shd w:val="clear" w:color="auto" w:fill="auto"/>
        </w:rPr>
        <w:t>大学使命和办学目标的阐述也就是高等教育法提到的办学宗旨。大学的宗旨可能共性因素要多一些，因为同为大学会有共同的属性：育人是根本，都有着通过教学、科研、服务贡献社会的三大功能。但是，定位很重要，共性之后要有特性，各高校的使命要有所区分，从宏观的角度看整个高等学校系统要与社会多样化的需求相匹配。在对国外大</w:t>
      </w:r>
    </w:p>
    <w:p>
      <w:pPr>
        <w:spacing w:after="0" w:line="200" w:lineRule="exact"/>
        <w:rPr>
          <w:color w:val="auto"/>
          <w:sz w:val="20"/>
          <w:szCs w:val="20"/>
          <w:shd w:val="clear" w:color="auto" w:fill="auto"/>
        </w:rPr>
      </w:pPr>
    </w:p>
    <w:p>
      <w:pPr>
        <w:spacing w:after="0" w:line="281"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50</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53" w:name="page53"/>
      <w:bookmarkEnd w:id="53"/>
    </w:p>
    <w:p>
      <w:pPr>
        <w:spacing w:after="0" w:line="339" w:lineRule="exact"/>
        <w:ind w:right="100"/>
        <w:jc w:val="both"/>
        <w:rPr>
          <w:color w:val="auto"/>
          <w:sz w:val="20"/>
          <w:szCs w:val="20"/>
          <w:shd w:val="clear" w:color="auto" w:fill="auto"/>
        </w:rPr>
      </w:pPr>
      <w:r>
        <w:rPr>
          <w:rFonts w:ascii="宋体" w:hAnsi="宋体" w:eastAsia="宋体" w:cs="宋体"/>
          <w:color w:val="auto"/>
          <w:sz w:val="24"/>
          <w:szCs w:val="24"/>
          <w:shd w:val="clear" w:color="auto" w:fill="auto"/>
        </w:rPr>
        <w:t>学考察中发现，使命是一个很重要的词，是区分该校与他校不同的关键所在。 而我国在这一点上区分度不大，学校的校训、宗旨比较泛化。</w:t>
      </w:r>
    </w:p>
    <w:p>
      <w:pPr>
        <w:spacing w:after="0" w:line="202" w:lineRule="exact"/>
        <w:rPr>
          <w:color w:val="auto"/>
          <w:sz w:val="20"/>
          <w:szCs w:val="20"/>
          <w:shd w:val="clear" w:color="auto" w:fill="auto"/>
        </w:rPr>
      </w:pPr>
    </w:p>
    <w:p>
      <w:pPr>
        <w:spacing w:after="0" w:line="407" w:lineRule="exact"/>
        <w:ind w:right="120" w:firstLine="480"/>
        <w:jc w:val="both"/>
        <w:rPr>
          <w:color w:val="auto"/>
          <w:sz w:val="20"/>
          <w:szCs w:val="20"/>
          <w:shd w:val="clear" w:color="auto" w:fill="auto"/>
        </w:rPr>
      </w:pPr>
      <w:r>
        <w:rPr>
          <w:rFonts w:ascii="宋体" w:hAnsi="宋体" w:eastAsia="宋体" w:cs="宋体"/>
          <w:color w:val="auto"/>
          <w:sz w:val="24"/>
          <w:szCs w:val="24"/>
          <w:shd w:val="clear" w:color="auto" w:fill="auto"/>
        </w:rPr>
        <w:t>确定了定位之后，就该认真探讨遵循什么样的教育理念来实现定位，即理念要与定位相一致中央部门直接管理的大学要为全国服务，注重为有志青年公平地提供机会，增强国际开放性；地方性高校要更多地为地方发展服务，有地方特色。这里的变化要更多一些，因为理念有多种多样，如北京大学、复旦大学可以多讲通识教育，而一些专业性大学特别是地方专业学院则就要多讲专业教育，即在通识教育和专业教育之间有一个光谱地带，适应于不同的学校，这也是高等教育多样化的基础。</w:t>
      </w:r>
    </w:p>
    <w:p>
      <w:pPr>
        <w:spacing w:after="0" w:line="204" w:lineRule="exact"/>
        <w:rPr>
          <w:color w:val="auto"/>
          <w:sz w:val="20"/>
          <w:szCs w:val="20"/>
          <w:shd w:val="clear" w:color="auto" w:fill="auto"/>
        </w:rPr>
      </w:pPr>
    </w:p>
    <w:p>
      <w:pPr>
        <w:spacing w:after="0" w:line="389" w:lineRule="exact"/>
        <w:ind w:firstLine="600"/>
        <w:jc w:val="both"/>
        <w:rPr>
          <w:color w:val="auto"/>
          <w:sz w:val="20"/>
          <w:szCs w:val="20"/>
          <w:shd w:val="clear" w:color="auto" w:fill="auto"/>
        </w:rPr>
      </w:pPr>
      <w:r>
        <w:rPr>
          <w:rFonts w:ascii="宋体" w:hAnsi="宋体" w:eastAsia="宋体" w:cs="宋体"/>
          <w:color w:val="auto"/>
          <w:sz w:val="24"/>
          <w:szCs w:val="24"/>
          <w:shd w:val="clear" w:color="auto" w:fill="auto"/>
        </w:rPr>
        <w:t>有了定位和理念，办学目标就呼之欲出了，这里需注意的是要处理好目标贴切性和激励性的关系，使政府、社会、师生广泛认同并努力为之奋斗。使命、目标一旦确定，就要有稳定性，要长期不懈地坚持下去，办出特色，要体现出依法治教的精神，不能朝令夕改。</w:t>
      </w:r>
    </w:p>
    <w:p>
      <w:pPr>
        <w:spacing w:after="0" w:line="181"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（三）大学内部治理结构的规定</w:t>
      </w:r>
    </w:p>
    <w:p>
      <w:pPr>
        <w:spacing w:after="0" w:line="189" w:lineRule="exact"/>
        <w:rPr>
          <w:color w:val="auto"/>
          <w:sz w:val="20"/>
          <w:szCs w:val="20"/>
          <w:shd w:val="clear" w:color="auto" w:fill="auto"/>
        </w:rPr>
      </w:pPr>
    </w:p>
    <w:p>
      <w:pPr>
        <w:spacing w:after="0" w:line="374" w:lineRule="exact"/>
        <w:ind w:right="120" w:firstLine="360"/>
        <w:jc w:val="both"/>
        <w:rPr>
          <w:color w:val="auto"/>
          <w:sz w:val="20"/>
          <w:szCs w:val="20"/>
          <w:shd w:val="clear" w:color="auto" w:fill="auto"/>
        </w:rPr>
      </w:pPr>
      <w:r>
        <w:rPr>
          <w:rFonts w:ascii="宋体" w:hAnsi="宋体" w:eastAsia="宋体" w:cs="宋体"/>
          <w:color w:val="auto"/>
          <w:sz w:val="24"/>
          <w:szCs w:val="24"/>
          <w:shd w:val="clear" w:color="auto" w:fill="auto"/>
        </w:rPr>
        <w:t>高等教育法提到大学章程应包括的内部管理体制、财产和财务制度事项，尽管只有寥寥数语，但却涉及复杂的管理命题。大学内部治理结构清晰，可使大学的决策和运行有章可循，有助于提高学校的办学效益和完善自我约束机制。</w:t>
      </w:r>
    </w:p>
    <w:p>
      <w:pPr>
        <w:spacing w:after="0" w:line="200" w:lineRule="exact"/>
        <w:rPr>
          <w:color w:val="auto"/>
          <w:sz w:val="20"/>
          <w:szCs w:val="20"/>
          <w:shd w:val="clear" w:color="auto" w:fill="auto"/>
        </w:rPr>
      </w:pPr>
    </w:p>
    <w:p>
      <w:pPr>
        <w:spacing w:after="0" w:line="415" w:lineRule="exact"/>
        <w:ind w:right="100" w:firstLine="480"/>
        <w:jc w:val="both"/>
        <w:rPr>
          <w:color w:val="auto"/>
          <w:sz w:val="20"/>
          <w:szCs w:val="20"/>
          <w:shd w:val="clear" w:color="auto" w:fill="auto"/>
        </w:rPr>
      </w:pPr>
      <w:r>
        <w:rPr>
          <w:rFonts w:ascii="宋体" w:hAnsi="宋体" w:eastAsia="宋体" w:cs="宋体"/>
          <w:color w:val="auto"/>
          <w:sz w:val="24"/>
          <w:szCs w:val="24"/>
          <w:shd w:val="clear" w:color="auto" w:fill="auto"/>
        </w:rPr>
        <w:t>需要解决好大学的内部领导体制，完善党委领导下的校长负责制。高等学校实行中国共产党基层委员会领导下的校长负责制、依法自主办学、实行民主管理等内容是见诸法律文本的内容，必须遵循，我们党的执政地位不容动摇。但大学在其制度建设中应当创造性地探讨党委领导、校长负责、教授治学的实现机制，通过科学合理的责任分工保证办学的有序、减少矛盾并激发办学的活力。可以借鉴国外大学董事会或理事会与校长关系的责权划定先确立一些原则：如具体界定党委和校长的职责；党委通过对校务委员会的领导及对战略规划的审定而把握大学的发展方向；党委负责校长的遴选工作； 副职由正职提名等。并明确在大的原则框架下各高校可以有所不同。</w:t>
      </w:r>
    </w:p>
    <w:p>
      <w:pPr>
        <w:spacing w:after="0" w:line="208" w:lineRule="exact"/>
        <w:rPr>
          <w:color w:val="auto"/>
          <w:sz w:val="20"/>
          <w:szCs w:val="20"/>
          <w:shd w:val="clear" w:color="auto" w:fill="auto"/>
        </w:rPr>
      </w:pPr>
    </w:p>
    <w:p>
      <w:pPr>
        <w:spacing w:after="0" w:line="399" w:lineRule="exact"/>
        <w:ind w:right="120" w:firstLine="360"/>
        <w:jc w:val="both"/>
        <w:rPr>
          <w:color w:val="auto"/>
          <w:sz w:val="20"/>
          <w:szCs w:val="20"/>
          <w:shd w:val="clear" w:color="auto" w:fill="auto"/>
        </w:rPr>
      </w:pPr>
      <w:r>
        <w:rPr>
          <w:rFonts w:ascii="宋体" w:hAnsi="宋体" w:eastAsia="宋体" w:cs="宋体"/>
          <w:color w:val="auto"/>
          <w:sz w:val="23"/>
          <w:szCs w:val="23"/>
          <w:shd w:val="clear" w:color="auto" w:fill="auto"/>
        </w:rPr>
        <w:t>要设定好行政管理机构。管理机构及其重要岗位的职责应当清晰，机构的运作程序应当明确，重要职责和关键性程序应当在章程中写明，再辅以相应的规章，这是办学效率和约束机制的制度性保障。在现代大学制度建设中，要注重学术和行政两支队伍的建设，它们的管理和激励模式是不同的，要精心铺架学术人员和行政人员并行成长的学术生涯和管理生涯双梯阶发展道路，努力打造精干、高效、专业化的行政管理队伍。</w:t>
      </w:r>
    </w:p>
    <w:p>
      <w:pPr>
        <w:spacing w:after="0" w:line="205" w:lineRule="exact"/>
        <w:rPr>
          <w:color w:val="auto"/>
          <w:sz w:val="20"/>
          <w:szCs w:val="20"/>
          <w:shd w:val="clear" w:color="auto" w:fill="auto"/>
        </w:rPr>
      </w:pPr>
    </w:p>
    <w:p>
      <w:pPr>
        <w:spacing w:after="0" w:line="340" w:lineRule="exact"/>
        <w:ind w:right="120" w:firstLine="480"/>
        <w:jc w:val="both"/>
        <w:rPr>
          <w:color w:val="auto"/>
          <w:sz w:val="20"/>
          <w:szCs w:val="20"/>
          <w:shd w:val="clear" w:color="auto" w:fill="auto"/>
        </w:rPr>
      </w:pPr>
      <w:r>
        <w:rPr>
          <w:rFonts w:ascii="宋体" w:hAnsi="宋体" w:eastAsia="宋体" w:cs="宋体"/>
          <w:color w:val="auto"/>
          <w:sz w:val="23"/>
          <w:szCs w:val="23"/>
          <w:shd w:val="clear" w:color="auto" w:fill="auto"/>
        </w:rPr>
        <w:t>从制度上保证学术委员会、教授会等组织对学术问题的决策作用。这既体现了对学术规律的尊重，也体现了对学术人员价值的肯定。教育领域是一个与智力有关的被严密</w:t>
      </w:r>
    </w:p>
    <w:p>
      <w:pPr>
        <w:spacing w:after="0" w:line="200" w:lineRule="exact"/>
        <w:rPr>
          <w:color w:val="auto"/>
          <w:sz w:val="20"/>
          <w:szCs w:val="20"/>
          <w:shd w:val="clear" w:color="auto" w:fill="auto"/>
        </w:rPr>
      </w:pPr>
    </w:p>
    <w:p>
      <w:pPr>
        <w:spacing w:after="0" w:line="278" w:lineRule="exact"/>
        <w:rPr>
          <w:color w:val="auto"/>
          <w:sz w:val="20"/>
          <w:szCs w:val="20"/>
          <w:shd w:val="clear" w:color="auto" w:fill="auto"/>
        </w:rPr>
      </w:pPr>
    </w:p>
    <w:p>
      <w:pPr>
        <w:spacing w:after="0"/>
        <w:ind w:right="12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51</w:t>
      </w:r>
    </w:p>
    <w:p>
      <w:pPr>
        <w:rPr>
          <w:shd w:val="clear" w:color="auto" w:fill="auto"/>
        </w:rPr>
        <w:sectPr>
          <w:pgSz w:w="11900" w:h="16840"/>
          <w:pgMar w:top="1440" w:right="1304" w:bottom="587" w:left="1420" w:header="0" w:footer="0" w:gutter="0"/>
          <w:cols w:equalWidth="0" w:num="1">
            <w:col w:w="9180"/>
          </w:cols>
        </w:sectPr>
      </w:pPr>
    </w:p>
    <w:p>
      <w:pPr>
        <w:spacing w:after="0" w:line="124" w:lineRule="exact"/>
        <w:rPr>
          <w:color w:val="auto"/>
          <w:sz w:val="20"/>
          <w:szCs w:val="20"/>
          <w:shd w:val="clear" w:color="auto" w:fill="auto"/>
        </w:rPr>
      </w:pPr>
      <w:bookmarkStart w:id="54" w:name="page54"/>
      <w:bookmarkEnd w:id="54"/>
    </w:p>
    <w:p>
      <w:pPr>
        <w:spacing w:after="0" w:line="425" w:lineRule="exact"/>
        <w:jc w:val="both"/>
        <w:rPr>
          <w:color w:val="auto"/>
          <w:sz w:val="20"/>
          <w:szCs w:val="20"/>
          <w:shd w:val="clear" w:color="auto" w:fill="auto"/>
        </w:rPr>
      </w:pPr>
      <w:r>
        <w:rPr>
          <w:rFonts w:ascii="宋体" w:hAnsi="宋体" w:eastAsia="宋体" w:cs="宋体"/>
          <w:color w:val="auto"/>
          <w:sz w:val="24"/>
          <w:szCs w:val="24"/>
          <w:shd w:val="clear" w:color="auto" w:fill="auto"/>
        </w:rPr>
        <w:t>规则化的人才市场，因为文化资本不直接等同于经济资本，所以学校教育系统能够相对公正地保持独立性和自律性，这也是高等学校的尊严所在。但是，学术、金钱、权力间的相互寻租现象，正在伤害着高校的尊严、破坏着社会的公正性、腐蚀着学术进步的土壤，使对智力和知识贡献的激励性降低，对创新型国家建设和人力资源强国建设不利。目前，现代大学制度创新的重点和难点在中间层次，并集中在大学内学院一级的权力机制上。大学内学院一级的权力分配有一个权力增加、责任加大但行政权力又要减少的两难问题：一是大学一级及其职能部门的部分权力需要向学院一级转移，这样才能增加学院的活力；二是学院的权力要向教授们倾斜，这有助于激励学者们献身科学并减少对权力的学术寻租。这是一个必须以创新的思维才能解决的问题，并且由于教授治学、治校必须首先从基层开始，大学内学院管理体制的创新又是现代大学制度建设绕不开的一个问题。 因此，要重视和加强大学基层学术组织建设，特别要提高教授在基层学术组织管理和学术问题上的决策权，充分发挥教授会的作用，保证学术自由，努力形成优秀学术人员脱颖而出和广大教师专注于学术工作的制度和机制。</w:t>
      </w:r>
    </w:p>
    <w:p>
      <w:pPr>
        <w:spacing w:after="0" w:line="180" w:lineRule="exact"/>
        <w:rPr>
          <w:color w:val="auto"/>
          <w:sz w:val="20"/>
          <w:szCs w:val="20"/>
          <w:shd w:val="clear" w:color="auto" w:fill="auto"/>
        </w:rPr>
      </w:pPr>
    </w:p>
    <w:p>
      <w:pPr>
        <w:spacing w:after="0" w:line="274" w:lineRule="exact"/>
        <w:ind w:left="480"/>
        <w:rPr>
          <w:color w:val="auto"/>
          <w:sz w:val="20"/>
          <w:szCs w:val="20"/>
          <w:shd w:val="clear" w:color="auto" w:fill="auto"/>
        </w:rPr>
      </w:pPr>
      <w:r>
        <w:rPr>
          <w:rFonts w:ascii="楷体" w:hAnsi="楷体" w:eastAsia="楷体" w:cs="楷体"/>
          <w:b/>
          <w:bCs/>
          <w:color w:val="auto"/>
          <w:sz w:val="24"/>
          <w:szCs w:val="24"/>
          <w:shd w:val="clear" w:color="auto" w:fill="auto"/>
        </w:rPr>
        <w:t>（四）大学办学的其他客观性要素</w:t>
      </w:r>
    </w:p>
    <w:p>
      <w:pPr>
        <w:spacing w:after="0" w:line="190" w:lineRule="exact"/>
        <w:rPr>
          <w:color w:val="auto"/>
          <w:sz w:val="20"/>
          <w:szCs w:val="20"/>
          <w:shd w:val="clear" w:color="auto" w:fill="auto"/>
        </w:rPr>
      </w:pPr>
    </w:p>
    <w:p>
      <w:pPr>
        <w:spacing w:after="0" w:line="340" w:lineRule="exact"/>
        <w:ind w:right="60" w:firstLine="480"/>
        <w:jc w:val="both"/>
        <w:rPr>
          <w:color w:val="auto"/>
          <w:sz w:val="20"/>
          <w:szCs w:val="20"/>
          <w:shd w:val="clear" w:color="auto" w:fill="auto"/>
        </w:rPr>
      </w:pPr>
      <w:r>
        <w:rPr>
          <w:rFonts w:ascii="宋体" w:hAnsi="宋体" w:eastAsia="宋体" w:cs="宋体"/>
          <w:color w:val="auto"/>
          <w:sz w:val="24"/>
          <w:szCs w:val="24"/>
          <w:shd w:val="clear" w:color="auto" w:fill="auto"/>
        </w:rPr>
        <w:t>大学办学的其他客观性要素即具体的事实性要素，也就是高等教育法所提到的学校名称和校址，办学规模和教育形式，以及骨干的学科门类设置和发展方向。</w:t>
      </w:r>
    </w:p>
    <w:p>
      <w:pPr>
        <w:spacing w:after="0" w:line="200" w:lineRule="exact"/>
        <w:rPr>
          <w:color w:val="auto"/>
          <w:sz w:val="20"/>
          <w:szCs w:val="20"/>
          <w:shd w:val="clear" w:color="auto" w:fill="auto"/>
        </w:rPr>
      </w:pPr>
    </w:p>
    <w:p>
      <w:pPr>
        <w:spacing w:after="0" w:line="411" w:lineRule="exact"/>
        <w:ind w:right="40" w:firstLine="480"/>
        <w:jc w:val="both"/>
        <w:rPr>
          <w:color w:val="auto"/>
          <w:sz w:val="20"/>
          <w:szCs w:val="20"/>
          <w:shd w:val="clear" w:color="auto" w:fill="auto"/>
        </w:rPr>
      </w:pPr>
      <w:r>
        <w:rPr>
          <w:rFonts w:ascii="宋体" w:hAnsi="宋体" w:eastAsia="宋体" w:cs="宋体"/>
          <w:color w:val="auto"/>
          <w:sz w:val="24"/>
          <w:szCs w:val="24"/>
          <w:shd w:val="clear" w:color="auto" w:fill="auto"/>
        </w:rPr>
        <w:t>学校名称和校址看似简单，其实是十分严肃的事情，把它们写入章程，就表明不能轻易改动和盲目发展。办学规模也是这样，论证好并写入章程的办学规模是不能轻易被突破的，国外一些名校多少年来规模一直稳定并不追求以大取胜。规模的突破必将引发使命、目标的改变，如原来 1 万人的规模，现在成了 3 万人，其教学方式、质量、生源能一样吗？精英大学的扩张还能真正保有自己的精英地位和模式吗？ 普通高校的教育形式有可能会比较一致， 是多种多样的，但要明确以哪种为主，哪些尽量不搞，教育形式要与其使命、目标相一致。</w:t>
      </w:r>
    </w:p>
    <w:p>
      <w:pPr>
        <w:spacing w:after="0" w:line="206" w:lineRule="exact"/>
        <w:rPr>
          <w:color w:val="auto"/>
          <w:sz w:val="20"/>
          <w:szCs w:val="20"/>
          <w:shd w:val="clear" w:color="auto" w:fill="auto"/>
        </w:rPr>
      </w:pPr>
    </w:p>
    <w:p>
      <w:pPr>
        <w:spacing w:after="0" w:line="389" w:lineRule="exact"/>
        <w:ind w:right="40" w:firstLine="480"/>
        <w:jc w:val="both"/>
        <w:rPr>
          <w:color w:val="auto"/>
          <w:sz w:val="20"/>
          <w:szCs w:val="20"/>
          <w:shd w:val="clear" w:color="auto" w:fill="auto"/>
        </w:rPr>
      </w:pPr>
      <w:r>
        <w:rPr>
          <w:rFonts w:ascii="宋体" w:hAnsi="宋体" w:eastAsia="宋体" w:cs="宋体"/>
          <w:color w:val="auto"/>
          <w:sz w:val="24"/>
          <w:szCs w:val="24"/>
          <w:shd w:val="clear" w:color="auto" w:fill="auto"/>
        </w:rPr>
        <w:t>学科门类设置要体现自身的发展方向和特色。这里既有宽口径设置以增加灵活性的问题，又有把自己的特色学科做好做强的问题。学科建设对大学发展的重要意义各校都很清楚，重点是要论证好、规划好、建设好， 围绕学科、专业做好基础条件和团队建设工作。</w:t>
      </w:r>
    </w:p>
    <w:p>
      <w:pPr>
        <w:spacing w:after="0" w:line="107" w:lineRule="exact"/>
        <w:rPr>
          <w:color w:val="auto"/>
          <w:sz w:val="20"/>
          <w:szCs w:val="20"/>
          <w:shd w:val="clear" w:color="auto" w:fill="auto"/>
        </w:rPr>
      </w:pPr>
    </w:p>
    <w:p>
      <w:pPr>
        <w:spacing w:after="0" w:line="313" w:lineRule="exact"/>
        <w:ind w:left="4200"/>
        <w:rPr>
          <w:color w:val="auto"/>
          <w:sz w:val="20"/>
          <w:szCs w:val="20"/>
          <w:shd w:val="clear" w:color="auto" w:fill="auto"/>
        </w:rPr>
      </w:pPr>
      <w:r>
        <w:rPr>
          <w:rFonts w:ascii="新宋体" w:hAnsi="新宋体" w:eastAsia="新宋体" w:cs="新宋体"/>
          <w:color w:val="auto"/>
          <w:sz w:val="24"/>
          <w:szCs w:val="24"/>
          <w:shd w:val="clear" w:color="auto" w:fill="auto"/>
        </w:rPr>
        <w:t>（本文摘自《教育研究》</w:t>
      </w:r>
      <w:r>
        <w:rPr>
          <w:rFonts w:ascii="Courier New" w:hAnsi="Courier New" w:eastAsia="Courier New" w:cs="Courier New"/>
          <w:color w:val="auto"/>
          <w:sz w:val="24"/>
          <w:szCs w:val="24"/>
          <w:shd w:val="clear" w:color="auto" w:fill="auto"/>
        </w:rPr>
        <w:t xml:space="preserve">2009 </w:t>
      </w:r>
      <w:r>
        <w:rPr>
          <w:rFonts w:ascii="新宋体" w:hAnsi="新宋体" w:eastAsia="新宋体" w:cs="新宋体"/>
          <w:color w:val="auto"/>
          <w:sz w:val="24"/>
          <w:szCs w:val="24"/>
          <w:shd w:val="clear" w:color="auto" w:fill="auto"/>
        </w:rPr>
        <w:t>年第</w:t>
      </w:r>
      <w:r>
        <w:rPr>
          <w:rFonts w:ascii="Courier New" w:hAnsi="Courier New" w:eastAsia="Courier New" w:cs="Courier New"/>
          <w:color w:val="auto"/>
          <w:sz w:val="24"/>
          <w:szCs w:val="24"/>
          <w:shd w:val="clear" w:color="auto" w:fill="auto"/>
        </w:rPr>
        <w:t xml:space="preserve"> 06 </w:t>
      </w:r>
      <w:r>
        <w:rPr>
          <w:rFonts w:ascii="新宋体" w:hAnsi="新宋体" w:eastAsia="新宋体" w:cs="新宋体"/>
          <w:color w:val="auto"/>
          <w:sz w:val="24"/>
          <w:szCs w:val="24"/>
          <w:shd w:val="clear" w:color="auto" w:fill="auto"/>
        </w:rPr>
        <w:t>期）</w:t>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23" w:lineRule="exact"/>
        <w:rPr>
          <w:color w:val="auto"/>
          <w:sz w:val="20"/>
          <w:szCs w:val="20"/>
          <w:shd w:val="clear" w:color="auto" w:fill="auto"/>
        </w:rPr>
      </w:pPr>
    </w:p>
    <w:p>
      <w:pPr>
        <w:spacing w:after="0"/>
        <w:ind w:right="6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52</w:t>
      </w:r>
    </w:p>
    <w:p>
      <w:pPr>
        <w:rPr>
          <w:shd w:val="clear" w:color="auto" w:fill="auto"/>
        </w:rPr>
        <w:sectPr>
          <w:pgSz w:w="11900" w:h="16840"/>
          <w:pgMar w:top="1440" w:right="1364" w:bottom="587" w:left="1420" w:header="0" w:footer="0" w:gutter="0"/>
          <w:cols w:equalWidth="0" w:num="1">
            <w:col w:w="9120"/>
          </w:cols>
        </w:sectPr>
      </w:pPr>
    </w:p>
    <w:p>
      <w:pPr>
        <w:spacing w:after="0" w:line="30" w:lineRule="exact"/>
        <w:rPr>
          <w:color w:val="auto"/>
          <w:sz w:val="20"/>
          <w:szCs w:val="20"/>
          <w:shd w:val="clear" w:color="auto" w:fill="auto"/>
        </w:rPr>
      </w:pPr>
      <w:bookmarkStart w:id="55" w:name="page55"/>
      <w:bookmarkEnd w:id="55"/>
    </w:p>
    <w:p>
      <w:pPr>
        <w:tabs>
          <w:tab w:val="left" w:pos="880"/>
        </w:tabs>
        <w:spacing w:after="0" w:line="343" w:lineRule="exact"/>
        <w:rPr>
          <w:color w:val="auto"/>
          <w:sz w:val="20"/>
          <w:szCs w:val="20"/>
          <w:shd w:val="clear" w:color="auto" w:fill="auto"/>
        </w:rPr>
      </w:pPr>
      <w:r>
        <w:rPr>
          <w:rFonts w:ascii="宋体" w:hAnsi="宋体" w:eastAsia="宋体" w:cs="宋体"/>
          <w:color w:val="auto"/>
          <w:sz w:val="30"/>
          <w:szCs w:val="30"/>
          <w:shd w:val="clear" w:color="auto" w:fill="auto"/>
        </w:rPr>
        <w:t>主</w:t>
      </w:r>
      <w:r>
        <w:rPr>
          <w:color w:val="auto"/>
          <w:sz w:val="20"/>
          <w:szCs w:val="20"/>
          <w:shd w:val="clear" w:color="auto" w:fill="auto"/>
        </w:rPr>
        <w:tab/>
      </w:r>
      <w:r>
        <w:rPr>
          <w:rFonts w:ascii="宋体" w:hAnsi="宋体" w:eastAsia="宋体" w:cs="宋体"/>
          <w:color w:val="auto"/>
          <w:sz w:val="30"/>
          <w:szCs w:val="30"/>
          <w:shd w:val="clear" w:color="auto" w:fill="auto"/>
        </w:rPr>
        <w:t>编：周振海</w:t>
      </w:r>
    </w:p>
    <w:p>
      <w:pPr>
        <w:spacing w:after="0" w:line="165" w:lineRule="exact"/>
        <w:rPr>
          <w:color w:val="auto"/>
          <w:sz w:val="20"/>
          <w:szCs w:val="20"/>
          <w:shd w:val="clear" w:color="auto" w:fill="auto"/>
        </w:rPr>
      </w:pPr>
    </w:p>
    <w:p>
      <w:pPr>
        <w:tabs>
          <w:tab w:val="left" w:pos="2080"/>
        </w:tabs>
        <w:spacing w:after="0" w:line="343" w:lineRule="exact"/>
        <w:rPr>
          <w:color w:val="auto"/>
          <w:sz w:val="20"/>
          <w:szCs w:val="20"/>
          <w:shd w:val="clear" w:color="auto" w:fill="auto"/>
        </w:rPr>
      </w:pPr>
      <w:r>
        <w:rPr>
          <w:rFonts w:ascii="宋体" w:hAnsi="宋体" w:eastAsia="宋体" w:cs="宋体"/>
          <w:color w:val="auto"/>
          <w:sz w:val="30"/>
          <w:szCs w:val="30"/>
          <w:shd w:val="clear" w:color="auto" w:fill="auto"/>
        </w:rPr>
        <w:t>责任编辑：秦</w:t>
      </w:r>
      <w:r>
        <w:rPr>
          <w:rFonts w:ascii="宋体" w:hAnsi="宋体" w:eastAsia="宋体" w:cs="宋体"/>
          <w:color w:val="auto"/>
          <w:sz w:val="30"/>
          <w:szCs w:val="30"/>
          <w:shd w:val="clear" w:color="auto" w:fill="auto"/>
        </w:rPr>
        <w:tab/>
      </w:r>
      <w:r>
        <w:rPr>
          <w:rFonts w:ascii="宋体" w:hAnsi="宋体" w:eastAsia="宋体" w:cs="宋体"/>
          <w:color w:val="auto"/>
          <w:sz w:val="30"/>
          <w:szCs w:val="30"/>
          <w:shd w:val="clear" w:color="auto" w:fill="auto"/>
        </w:rPr>
        <w:t>琴</w:t>
      </w:r>
    </w:p>
    <w:p>
      <w:pPr>
        <w:spacing w:after="0" w:line="280" w:lineRule="exact"/>
        <w:rPr>
          <w:color w:val="auto"/>
          <w:sz w:val="20"/>
          <w:szCs w:val="20"/>
          <w:shd w:val="clear" w:color="auto" w:fill="auto"/>
        </w:rPr>
      </w:pPr>
    </w:p>
    <w:p>
      <w:pPr>
        <w:spacing w:after="0" w:line="365" w:lineRule="exact"/>
        <w:rPr>
          <w:color w:val="auto"/>
          <w:sz w:val="20"/>
          <w:szCs w:val="20"/>
          <w:shd w:val="clear" w:color="auto" w:fill="auto"/>
        </w:rPr>
      </w:pPr>
      <w:r>
        <w:rPr>
          <w:rFonts w:ascii="宋体" w:hAnsi="宋体" w:eastAsia="宋体" w:cs="宋体"/>
          <w:color w:val="auto"/>
          <w:sz w:val="30"/>
          <w:szCs w:val="30"/>
          <w:shd w:val="clear" w:color="auto" w:fill="auto"/>
        </w:rPr>
        <w:t>本刊地址：明德楼</w:t>
      </w:r>
      <w:r>
        <w:rPr>
          <w:rFonts w:ascii="Times New Roman" w:hAnsi="Times New Roman" w:eastAsia="Times New Roman" w:cs="Times New Roman"/>
          <w:color w:val="auto"/>
          <w:sz w:val="30"/>
          <w:szCs w:val="30"/>
          <w:shd w:val="clear" w:color="auto" w:fill="auto"/>
        </w:rPr>
        <w:t xml:space="preserve"> 515 </w:t>
      </w:r>
      <w:r>
        <w:rPr>
          <w:rFonts w:ascii="宋体" w:hAnsi="宋体" w:eastAsia="宋体" w:cs="宋体"/>
          <w:color w:val="auto"/>
          <w:sz w:val="30"/>
          <w:szCs w:val="30"/>
          <w:shd w:val="clear" w:color="auto" w:fill="auto"/>
        </w:rPr>
        <w:t>室</w:t>
      </w:r>
    </w:p>
    <w:p>
      <w:pPr>
        <w:spacing w:after="0" w:line="259" w:lineRule="exact"/>
        <w:rPr>
          <w:color w:val="auto"/>
          <w:sz w:val="20"/>
          <w:szCs w:val="20"/>
          <w:shd w:val="clear" w:color="auto" w:fill="auto"/>
        </w:rPr>
      </w:pPr>
    </w:p>
    <w:p>
      <w:pPr>
        <w:spacing w:after="0" w:line="365" w:lineRule="exact"/>
        <w:rPr>
          <w:color w:val="auto"/>
          <w:sz w:val="20"/>
          <w:szCs w:val="20"/>
          <w:shd w:val="clear" w:color="auto" w:fill="auto"/>
        </w:rPr>
      </w:pPr>
      <w:r>
        <w:rPr>
          <w:rFonts w:ascii="宋体" w:hAnsi="宋体" w:eastAsia="宋体" w:cs="宋体"/>
          <w:color w:val="auto"/>
          <w:sz w:val="30"/>
          <w:szCs w:val="30"/>
          <w:shd w:val="clear" w:color="auto" w:fill="auto"/>
        </w:rPr>
        <w:t>联系电话：</w:t>
      </w:r>
      <w:r>
        <w:rPr>
          <w:rFonts w:ascii="Times New Roman" w:hAnsi="Times New Roman" w:eastAsia="Times New Roman" w:cs="Times New Roman"/>
          <w:color w:val="auto"/>
          <w:sz w:val="30"/>
          <w:szCs w:val="30"/>
          <w:shd w:val="clear" w:color="auto" w:fill="auto"/>
        </w:rPr>
        <w:t>010</w:t>
      </w:r>
      <w:r>
        <w:rPr>
          <w:rFonts w:ascii="宋体" w:hAnsi="宋体" w:eastAsia="宋体" w:cs="宋体"/>
          <w:color w:val="auto"/>
          <w:sz w:val="30"/>
          <w:szCs w:val="30"/>
          <w:shd w:val="clear" w:color="auto" w:fill="auto"/>
        </w:rPr>
        <w:t>—</w:t>
      </w:r>
      <w:r>
        <w:rPr>
          <w:rFonts w:ascii="Times New Roman" w:hAnsi="Times New Roman" w:eastAsia="Times New Roman" w:cs="Times New Roman"/>
          <w:color w:val="auto"/>
          <w:sz w:val="30"/>
          <w:szCs w:val="30"/>
          <w:shd w:val="clear" w:color="auto" w:fill="auto"/>
        </w:rPr>
        <w:t xml:space="preserve">61596207 </w:t>
      </w:r>
      <w:r>
        <w:rPr>
          <w:rFonts w:ascii="宋体" w:hAnsi="宋体" w:eastAsia="宋体" w:cs="宋体"/>
          <w:color w:val="auto"/>
          <w:sz w:val="30"/>
          <w:szCs w:val="30"/>
          <w:shd w:val="clear" w:color="auto" w:fill="auto"/>
        </w:rPr>
        <w:t>电子邮箱：</w:t>
      </w:r>
      <w:r>
        <w:rPr>
          <w:rFonts w:ascii="Times New Roman" w:hAnsi="Times New Roman" w:eastAsia="Times New Roman" w:cs="Times New Roman"/>
          <w:color w:val="auto"/>
          <w:sz w:val="30"/>
          <w:szCs w:val="30"/>
          <w:u w:val="single" w:color="auto"/>
          <w:shd w:val="clear" w:color="auto" w:fill="auto"/>
        </w:rPr>
        <w:t>gjs@cidp.edu.cn</w:t>
      </w:r>
    </w:p>
    <w:p>
      <w:pPr>
        <w:spacing w:after="0" w:line="20" w:lineRule="exact"/>
        <w:rPr>
          <w:color w:val="auto"/>
          <w:sz w:val="20"/>
          <w:szCs w:val="20"/>
          <w:shd w:val="clear" w:color="auto" w:fill="auto"/>
        </w:rPr>
      </w:pPr>
      <w:r>
        <w:rPr>
          <w:color w:val="auto"/>
          <w:sz w:val="20"/>
          <w:szCs w:val="20"/>
          <w:shd w:val="clear" w:color="auto" w:fill="auto"/>
        </w:rPr>
        <w:drawing>
          <wp:anchor distT="0" distB="0" distL="114300" distR="114300" simplePos="0" relativeHeight="251658240" behindDoc="1" locked="0" layoutInCell="0" allowOverlap="1">
            <wp:simplePos x="0" y="0"/>
            <wp:positionH relativeFrom="column">
              <wp:posOffset>-635</wp:posOffset>
            </wp:positionH>
            <wp:positionV relativeFrom="paragraph">
              <wp:posOffset>6560820</wp:posOffset>
            </wp:positionV>
            <wp:extent cx="5829300" cy="146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5829300" cy="14605"/>
                    </a:xfrm>
                    <a:prstGeom prst="rect">
                      <a:avLst/>
                    </a:prstGeom>
                    <a:noFill/>
                  </pic:spPr>
                </pic:pic>
              </a:graphicData>
            </a:graphic>
          </wp:anchor>
        </w:drawing>
      </w: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00" w:lineRule="exact"/>
        <w:rPr>
          <w:color w:val="auto"/>
          <w:sz w:val="20"/>
          <w:szCs w:val="20"/>
          <w:shd w:val="clear" w:color="auto" w:fill="auto"/>
        </w:rPr>
      </w:pPr>
    </w:p>
    <w:p>
      <w:pPr>
        <w:spacing w:after="0" w:line="233" w:lineRule="exact"/>
        <w:rPr>
          <w:color w:val="auto"/>
          <w:sz w:val="20"/>
          <w:szCs w:val="20"/>
          <w:shd w:val="clear" w:color="auto" w:fill="auto"/>
        </w:rPr>
      </w:pPr>
    </w:p>
    <w:p>
      <w:pPr>
        <w:spacing w:after="0" w:line="274" w:lineRule="exact"/>
        <w:rPr>
          <w:color w:val="auto"/>
          <w:sz w:val="20"/>
          <w:szCs w:val="20"/>
          <w:shd w:val="clear" w:color="auto" w:fill="auto"/>
        </w:rPr>
      </w:pPr>
      <w:r>
        <w:rPr>
          <w:rFonts w:ascii="宋体" w:hAnsi="宋体" w:eastAsia="宋体" w:cs="宋体"/>
          <w:color w:val="auto"/>
          <w:sz w:val="24"/>
          <w:szCs w:val="24"/>
          <w:shd w:val="clear" w:color="auto" w:fill="auto"/>
        </w:rPr>
        <w:t>呈：院领导</w:t>
      </w:r>
    </w:p>
    <w:p>
      <w:pPr>
        <w:spacing w:after="0" w:line="226" w:lineRule="exact"/>
        <w:rPr>
          <w:color w:val="auto"/>
          <w:sz w:val="20"/>
          <w:szCs w:val="20"/>
          <w:shd w:val="clear" w:color="auto" w:fill="auto"/>
        </w:rPr>
      </w:pPr>
    </w:p>
    <w:p>
      <w:pPr>
        <w:tabs>
          <w:tab w:val="left" w:pos="7360"/>
        </w:tabs>
        <w:spacing w:after="0" w:line="251" w:lineRule="exact"/>
        <w:rPr>
          <w:color w:val="auto"/>
          <w:sz w:val="20"/>
          <w:szCs w:val="20"/>
          <w:shd w:val="clear" w:color="auto" w:fill="auto"/>
        </w:rPr>
      </w:pPr>
      <w:r>
        <w:rPr>
          <w:rFonts w:ascii="宋体" w:hAnsi="宋体" w:eastAsia="宋体" w:cs="宋体"/>
          <w:color w:val="auto"/>
          <w:sz w:val="22"/>
          <w:szCs w:val="22"/>
          <w:shd w:val="clear" w:color="auto" w:fill="auto"/>
        </w:rPr>
        <w:t>发：各系（部）处（室）、教研室</w:t>
      </w:r>
      <w:r>
        <w:rPr>
          <w:color w:val="auto"/>
          <w:sz w:val="20"/>
          <w:szCs w:val="20"/>
          <w:shd w:val="clear" w:color="auto" w:fill="auto"/>
        </w:rPr>
        <w:tab/>
      </w:r>
      <w:r>
        <w:rPr>
          <w:rFonts w:ascii="楷体" w:hAnsi="楷体" w:eastAsia="楷体" w:cs="楷体"/>
          <w:color w:val="auto"/>
          <w:sz w:val="22"/>
          <w:szCs w:val="22"/>
          <w:shd w:val="clear" w:color="auto" w:fill="auto"/>
        </w:rPr>
        <w:t>本期共印 200 份</w:t>
      </w:r>
    </w:p>
    <w:p>
      <w:pPr>
        <w:spacing w:after="0" w:line="200" w:lineRule="exact"/>
        <w:rPr>
          <w:color w:val="auto"/>
          <w:sz w:val="20"/>
          <w:szCs w:val="20"/>
          <w:shd w:val="clear" w:color="auto" w:fill="auto"/>
        </w:rPr>
      </w:pPr>
    </w:p>
    <w:p>
      <w:pPr>
        <w:spacing w:after="0" w:line="289" w:lineRule="exact"/>
        <w:rPr>
          <w:color w:val="auto"/>
          <w:sz w:val="20"/>
          <w:szCs w:val="20"/>
          <w:shd w:val="clear" w:color="auto" w:fill="auto"/>
        </w:rPr>
      </w:pPr>
    </w:p>
    <w:p>
      <w:pPr>
        <w:spacing w:after="0"/>
        <w:jc w:val="center"/>
        <w:rPr>
          <w:color w:val="auto"/>
          <w:sz w:val="20"/>
          <w:szCs w:val="20"/>
          <w:shd w:val="clear" w:color="auto" w:fill="auto"/>
        </w:rPr>
      </w:pPr>
      <w:r>
        <w:rPr>
          <w:rFonts w:ascii="Times New Roman" w:hAnsi="Times New Roman" w:eastAsia="Times New Roman" w:cs="Times New Roman"/>
          <w:color w:val="auto"/>
          <w:sz w:val="18"/>
          <w:szCs w:val="18"/>
          <w:shd w:val="clear" w:color="auto" w:fill="auto"/>
        </w:rPr>
        <w:t>53</w:t>
      </w:r>
    </w:p>
    <w:sectPr>
      <w:pgSz w:w="11900" w:h="16840"/>
      <w:pgMar w:top="1440" w:right="1424" w:bottom="587" w:left="1420" w:header="0" w:footer="0" w:gutter="0"/>
      <w:cols w:equalWidth="0" w:num="1">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singleLevel"/>
    <w:tmpl w:val="00000099"/>
    <w:lvl w:ilvl="0" w:tentative="0">
      <w:start w:val="1"/>
      <w:numFmt w:val="bullet"/>
      <w:lvlText w:val="从"/>
      <w:lvlJc w:val="left"/>
    </w:lvl>
  </w:abstractNum>
  <w:abstractNum w:abstractNumId="1">
    <w:nsid w:val="00000124"/>
    <w:multiLevelType w:val="singleLevel"/>
    <w:tmpl w:val="00000124"/>
    <w:lvl w:ilvl="0" w:tentative="0">
      <w:start w:val="1"/>
      <w:numFmt w:val="bullet"/>
      <w:lvlText w:val="从"/>
      <w:lvlJc w:val="left"/>
    </w:lvl>
  </w:abstractNum>
  <w:abstractNum w:abstractNumId="2">
    <w:nsid w:val="00000F3E"/>
    <w:multiLevelType w:val="singleLevel"/>
    <w:tmpl w:val="00000F3E"/>
    <w:lvl w:ilvl="0" w:tentative="0">
      <w:start w:val="1"/>
      <w:numFmt w:val="bullet"/>
      <w:lvlText w:val="从"/>
      <w:lvlJc w:val="left"/>
    </w:lvl>
  </w:abstractNum>
  <w:abstractNum w:abstractNumId="3">
    <w:nsid w:val="0000153C"/>
    <w:multiLevelType w:val="singleLevel"/>
    <w:tmpl w:val="0000153C"/>
    <w:lvl w:ilvl="0" w:tentative="0">
      <w:start w:val="90"/>
      <w:numFmt w:val="decimal"/>
      <w:lvlText w:val="%1"/>
      <w:lvlJc w:val="left"/>
    </w:lvl>
  </w:abstractNum>
  <w:abstractNum w:abstractNumId="4">
    <w:nsid w:val="00001547"/>
    <w:multiLevelType w:val="singleLevel"/>
    <w:tmpl w:val="00001547"/>
    <w:lvl w:ilvl="0" w:tentative="0">
      <w:start w:val="1"/>
      <w:numFmt w:val="decimal"/>
      <w:lvlText w:val="%1."/>
      <w:lvlJc w:val="left"/>
    </w:lvl>
  </w:abstractNum>
  <w:abstractNum w:abstractNumId="5">
    <w:nsid w:val="0000305E"/>
    <w:multiLevelType w:val="singleLevel"/>
    <w:tmpl w:val="0000305E"/>
    <w:lvl w:ilvl="0" w:tentative="0">
      <w:start w:val="1"/>
      <w:numFmt w:val="decimal"/>
      <w:lvlText w:val="[%1]"/>
      <w:lvlJc w:val="left"/>
    </w:lvl>
  </w:abstractNum>
  <w:abstractNum w:abstractNumId="6">
    <w:nsid w:val="0000390C"/>
    <w:multiLevelType w:val="singleLevel"/>
    <w:tmpl w:val="0000390C"/>
    <w:lvl w:ilvl="0" w:tentative="0">
      <w:start w:val="1"/>
      <w:numFmt w:val="bullet"/>
      <w:lvlText w:val="从"/>
      <w:lvlJc w:val="left"/>
    </w:lvl>
  </w:abstractNum>
  <w:abstractNum w:abstractNumId="7">
    <w:nsid w:val="0000440D"/>
    <w:multiLevelType w:val="singleLevel"/>
    <w:tmpl w:val="0000440D"/>
    <w:lvl w:ilvl="0" w:tentative="0">
      <w:start w:val="1"/>
      <w:numFmt w:val="bullet"/>
      <w:lvlText w:val="国"/>
      <w:lvlJc w:val="left"/>
    </w:lvl>
  </w:abstractNum>
  <w:abstractNum w:abstractNumId="8">
    <w:nsid w:val="0000491C"/>
    <w:multiLevelType w:val="singleLevel"/>
    <w:tmpl w:val="0000491C"/>
    <w:lvl w:ilvl="0" w:tentative="0">
      <w:start w:val="1"/>
      <w:numFmt w:val="bullet"/>
      <w:lvlText w:val="年"/>
      <w:lvlJc w:val="left"/>
    </w:lvl>
  </w:abstractNum>
  <w:abstractNum w:abstractNumId="9">
    <w:nsid w:val="00004D06"/>
    <w:multiLevelType w:val="singleLevel"/>
    <w:tmpl w:val="00004D06"/>
    <w:lvl w:ilvl="0" w:tentative="0">
      <w:start w:val="30"/>
      <w:numFmt w:val="decimal"/>
      <w:lvlText w:val="%1"/>
      <w:lvlJc w:val="left"/>
    </w:lvl>
  </w:abstractNum>
  <w:abstractNum w:abstractNumId="10">
    <w:nsid w:val="00004DB7"/>
    <w:multiLevelType w:val="singleLevel"/>
    <w:tmpl w:val="00004DB7"/>
    <w:lvl w:ilvl="0" w:tentative="0">
      <w:start w:val="2"/>
      <w:numFmt w:val="decimal"/>
      <w:lvlText w:val="%1."/>
      <w:lvlJc w:val="left"/>
    </w:lvl>
  </w:abstractNum>
  <w:abstractNum w:abstractNumId="11">
    <w:nsid w:val="000054DE"/>
    <w:multiLevelType w:val="singleLevel"/>
    <w:tmpl w:val="000054DE"/>
    <w:lvl w:ilvl="0" w:tentative="0">
      <w:start w:val="2"/>
      <w:numFmt w:val="decimal"/>
      <w:lvlText w:val="%1."/>
      <w:lvlJc w:val="left"/>
    </w:lvl>
  </w:abstractNum>
  <w:abstractNum w:abstractNumId="12">
    <w:nsid w:val="00007E87"/>
    <w:multiLevelType w:val="singleLevel"/>
    <w:tmpl w:val="00007E87"/>
    <w:lvl w:ilvl="0" w:tentative="0">
      <w:start w:val="1"/>
      <w:numFmt w:val="bullet"/>
      <w:lvlText w:val="第"/>
      <w:lvlJc w:val="left"/>
    </w:lvl>
  </w:abstractNum>
  <w:num w:numId="1">
    <w:abstractNumId w:val="3"/>
  </w:num>
  <w:num w:numId="2">
    <w:abstractNumId w:val="12"/>
  </w:num>
  <w:num w:numId="3">
    <w:abstractNumId w:val="6"/>
  </w:num>
  <w:num w:numId="4">
    <w:abstractNumId w:val="2"/>
  </w:num>
  <w:num w:numId="5">
    <w:abstractNumId w:val="0"/>
  </w:num>
  <w:num w:numId="6">
    <w:abstractNumId w:val="1"/>
  </w:num>
  <w:num w:numId="7">
    <w:abstractNumId w:val="5"/>
  </w:num>
  <w:num w:numId="8">
    <w:abstractNumId w:val="7"/>
  </w:num>
  <w:num w:numId="9">
    <w:abstractNumId w:val="8"/>
  </w:num>
  <w:num w:numId="10">
    <w:abstractNumId w:val="9"/>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67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2018-12-21T18:19:00Z</dcterms:created>
  <dc:creator>Windows User</dc:creator>
  <cp:lastModifiedBy>admin</cp:lastModifiedBy>
  <dcterms:modified xsi:type="dcterms:W3CDTF">2018-12-21T10:28:06Z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